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D0" w:rsidRPr="00AB1830" w:rsidRDefault="003B621F" w:rsidP="00C316D0">
      <w:pPr>
        <w:pStyle w:val="berschrift1"/>
      </w:pPr>
      <w:r w:rsidRPr="00AB1830">
        <w:t>Checkliste: Wirksame Einwilligung</w:t>
      </w:r>
    </w:p>
    <w:tbl>
      <w:tblPr>
        <w:tblStyle w:val="TableNormal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98"/>
        <w:gridCol w:w="7341"/>
      </w:tblGrid>
      <w:tr w:rsidR="00CC4852" w:rsidRPr="00830477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256F3">
            <w:pPr>
              <w:pStyle w:val="Standardeinzug"/>
              <w:rPr>
                <w:b/>
              </w:rPr>
            </w:pPr>
            <w:sdt>
              <w:sdtPr>
                <w:id w:val="11688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E55F9A" w:rsidRPr="00386790">
              <w:rPr>
                <w:b/>
              </w:rPr>
              <w:t>Wahl der Einwilligung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C74146" w:rsidP="00411288">
            <w:pPr>
              <w:pStyle w:val="Standardeinzug"/>
            </w:pPr>
            <w:sdt>
              <w:sdtPr>
                <w:id w:val="-2381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Es ist keine gesetzliche Grundlage einschlägig (s. Kap. 4.5.6)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30027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Die Einwilligung wird in Kenntnis der Anforderungen und Folgen dennoch gewählt</w:t>
            </w:r>
          </w:p>
        </w:tc>
      </w:tr>
      <w:tr w:rsidR="00CC4852" w:rsidRPr="00830477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11288">
            <w:pPr>
              <w:pStyle w:val="Standardeinzug"/>
              <w:rPr>
                <w:b/>
              </w:rPr>
            </w:pPr>
            <w:sdt>
              <w:sdtPr>
                <w:id w:val="-11104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E55F9A" w:rsidRPr="00386790">
              <w:rPr>
                <w:b/>
              </w:rPr>
              <w:t>Informiertheit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E55F9A" w:rsidP="00411288">
            <w:pPr>
              <w:pStyle w:val="Standardeinzug"/>
            </w:pPr>
            <w:r w:rsidRPr="00411288">
              <w:t>Aufklärung über Zwecke: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-118405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Benennung aller Zwecke der Datenverarbeitung, die auf die Einwilligung gestützt werden sollen,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1298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Benennung des Verantwortlichen, der die Daten verarbeitet und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17350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Benennung der Dritten als Empfänger der Daten, soweit eine Offenlegung bzw. ein Informationsaustauch beabsichtigt ist</w:t>
            </w:r>
          </w:p>
        </w:tc>
      </w:tr>
      <w:tr w:rsidR="00CC4852" w:rsidRPr="00830477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11288">
            <w:pPr>
              <w:pStyle w:val="Standardeinzug"/>
              <w:rPr>
                <w:b/>
              </w:rPr>
            </w:pPr>
            <w:sdt>
              <w:sdtPr>
                <w:id w:val="116674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E55F9A" w:rsidRPr="00386790">
              <w:rPr>
                <w:b/>
              </w:rPr>
              <w:t>Bestimmtheit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C74146" w:rsidP="00411288">
            <w:pPr>
              <w:pStyle w:val="Standardeinzug"/>
            </w:pPr>
            <w:sdt>
              <w:sdtPr>
                <w:id w:val="20555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Keine Pauschaleinwilligungen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-98307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Konkrete Benennung des Zwecks der Datenverarbeitung „für den Einzelfall“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1718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Bei Verarbeitung zu mehreren Zwecken: Angabe sämtlicher Zwecke</w:t>
            </w:r>
          </w:p>
        </w:tc>
      </w:tr>
      <w:tr w:rsidR="00CC4852" w:rsidRPr="00C316D0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256F3">
            <w:pPr>
              <w:pStyle w:val="Standardeinzug"/>
              <w:rPr>
                <w:b/>
              </w:rPr>
            </w:pPr>
            <w:sdt>
              <w:sdtPr>
                <w:id w:val="-198491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E55F9A" w:rsidRPr="00386790">
              <w:rPr>
                <w:b/>
              </w:rPr>
              <w:t>Freiwilligkeit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C74146" w:rsidP="00411288">
            <w:pPr>
              <w:pStyle w:val="Standardeinzug"/>
            </w:pPr>
            <w:sdt>
              <w:sdtPr>
                <w:id w:val="-14298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 xml:space="preserve">Echte (Wahl-)Freiheit zur Entscheidung, d.h. freie Möglichkeit zu </w:t>
            </w:r>
            <w:r w:rsidR="00411288" w:rsidRPr="00411288">
              <w:t>Verweige</w:t>
            </w:r>
            <w:r w:rsidR="00E55F9A" w:rsidRPr="00411288">
              <w:t>rung und Widerruf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75032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Hinweis auf Weigerungsmöglichkeit ohne Nachteile befürchten zu müssen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20151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Kein Zwang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-20402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Keine Täuschung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40303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Kein klares Ungleichgewicht</w:t>
            </w:r>
          </w:p>
        </w:tc>
      </w:tr>
      <w:tr w:rsidR="00CC4852" w:rsidRPr="00830477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256F3">
            <w:pPr>
              <w:pStyle w:val="Standardeinzug"/>
              <w:rPr>
                <w:b/>
              </w:rPr>
            </w:pPr>
            <w:sdt>
              <w:sdtPr>
                <w:id w:val="13327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E55F9A" w:rsidRPr="00386790">
              <w:rPr>
                <w:b/>
              </w:rPr>
              <w:t>Keine Kopplung mit anderen Zwecken oder Leistungen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C74146" w:rsidP="004256F3">
            <w:pPr>
              <w:pStyle w:val="Standardeinzug"/>
            </w:pPr>
            <w:sdt>
              <w:sdtPr>
                <w:id w:val="4363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Behandlung darf nicht davon abhängig gemacht werden, dass der Patient in eine Datenverarbeitung einwilligt, welche mit der Behandlung nicht im Zusammenhang steht</w:t>
            </w:r>
          </w:p>
        </w:tc>
      </w:tr>
      <w:tr w:rsidR="00CC4852" w:rsidRPr="00830477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11288">
            <w:pPr>
              <w:pStyle w:val="Standardeinzug"/>
              <w:rPr>
                <w:b/>
              </w:rPr>
            </w:pPr>
            <w:sdt>
              <w:sdtPr>
                <w:id w:val="-206478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E55F9A" w:rsidRPr="00386790">
              <w:rPr>
                <w:b/>
              </w:rPr>
              <w:t>Ausdrücklichkeit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C74146" w:rsidP="00411288">
            <w:pPr>
              <w:pStyle w:val="Standardeinzug"/>
            </w:pPr>
            <w:sdt>
              <w:sdtPr>
                <w:id w:val="-16348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Einwilligung muss sich ausdrücklich auf die Verarbeitung von Gesundheitsdaten beziehen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9979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Keine Einwilligung nur durch schlüssiges Verhalten</w:t>
            </w:r>
          </w:p>
        </w:tc>
      </w:tr>
      <w:tr w:rsidR="00CC4852" w:rsidRPr="00C316D0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256F3">
            <w:pPr>
              <w:pStyle w:val="Standardeinzug"/>
              <w:rPr>
                <w:b/>
              </w:rPr>
            </w:pPr>
            <w:sdt>
              <w:sdtPr>
                <w:id w:val="-179806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E55F9A" w:rsidRPr="00386790">
              <w:rPr>
                <w:b/>
              </w:rPr>
              <w:t>Form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C74146" w:rsidP="00411288">
            <w:pPr>
              <w:pStyle w:val="Standardeinzug"/>
            </w:pPr>
            <w:sdt>
              <w:sdtPr>
                <w:id w:val="205928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Mündlich oder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-16925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Elektronisch oder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17597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Schriftlich</w:t>
            </w:r>
          </w:p>
        </w:tc>
      </w:tr>
      <w:tr w:rsidR="00CC4852" w:rsidRPr="00830477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256F3">
            <w:pPr>
              <w:pStyle w:val="Standardeinzug"/>
              <w:rPr>
                <w:b/>
              </w:rPr>
            </w:pPr>
            <w:sdt>
              <w:sdtPr>
                <w:id w:val="-9136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E55F9A" w:rsidRPr="00386790">
              <w:rPr>
                <w:b/>
              </w:rPr>
              <w:t>Eindeutigkeit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C74146" w:rsidP="004256F3">
            <w:pPr>
              <w:pStyle w:val="Standardeinzug"/>
            </w:pPr>
            <w:sdt>
              <w:sdtPr>
                <w:id w:val="1450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Unmissverständliche Bekundung des klaren Einverständnisses des Patienten</w:t>
            </w:r>
          </w:p>
        </w:tc>
      </w:tr>
      <w:tr w:rsidR="00CC4852" w:rsidRPr="00830477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256F3">
            <w:pPr>
              <w:pStyle w:val="Standardeinzug"/>
              <w:rPr>
                <w:b/>
              </w:rPr>
            </w:pPr>
            <w:sdt>
              <w:sdtPr>
                <w:id w:val="-4810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E55F9A" w:rsidRPr="00386790">
              <w:rPr>
                <w:b/>
              </w:rPr>
              <w:t>Verständlichkeit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C74146" w:rsidP="00411288">
            <w:pPr>
              <w:pStyle w:val="Standardeinzug"/>
            </w:pPr>
            <w:sdt>
              <w:sdtPr>
                <w:id w:val="-184068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Klare einfache Sprache bei vorformulierten Einwilligungserklärungen und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15338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 xml:space="preserve">In leicht zugänglicher Form zur Verfügung gestellte vorformulierte </w:t>
            </w:r>
            <w:r w:rsidR="00411288" w:rsidRPr="00411288">
              <w:t>Einwilli</w:t>
            </w:r>
            <w:r w:rsidR="00E55F9A" w:rsidRPr="00411288">
              <w:t>gungserklärungen</w:t>
            </w:r>
          </w:p>
        </w:tc>
      </w:tr>
      <w:tr w:rsidR="00CC4852" w:rsidRPr="00830477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256F3">
            <w:pPr>
              <w:pStyle w:val="Standardeinzug"/>
              <w:rPr>
                <w:b/>
              </w:rPr>
            </w:pPr>
            <w:sdt>
              <w:sdtPr>
                <w:id w:val="-55070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E55F9A" w:rsidRPr="00386790">
              <w:rPr>
                <w:b/>
              </w:rPr>
              <w:t>Transparenz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C74146" w:rsidP="004256F3">
            <w:pPr>
              <w:pStyle w:val="Standardeinzug"/>
            </w:pPr>
            <w:sdt>
              <w:sdtPr>
                <w:id w:val="-20845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Hervorhebung bei Einholung zusammen mit anderen Erklärungen</w:t>
            </w:r>
          </w:p>
        </w:tc>
      </w:tr>
      <w:tr w:rsidR="00CC4852" w:rsidRPr="00411288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256F3">
            <w:pPr>
              <w:pStyle w:val="Standardeinzug"/>
              <w:rPr>
                <w:b/>
              </w:rPr>
            </w:pPr>
            <w:sdt>
              <w:sdtPr>
                <w:id w:val="-16276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E55F9A" w:rsidRPr="00386790">
              <w:rPr>
                <w:b/>
              </w:rPr>
              <w:t>Widerrufbarkeit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C74146" w:rsidP="00411288">
            <w:pPr>
              <w:pStyle w:val="Standardeinzug"/>
            </w:pPr>
            <w:sdt>
              <w:sdtPr>
                <w:id w:val="130967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Hinweis auf Widerrufmöglichkeit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-14679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Eröffnen eines Weges zum Widerruf, der genauso einfach ist wie die Erteilung der Einwilligung und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7192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Benennung eines eindeutigen Ansprechpartners für Ausübung des Widerrufsrechts</w:t>
            </w:r>
          </w:p>
        </w:tc>
      </w:tr>
      <w:tr w:rsidR="00CC4852" w:rsidRPr="00411288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C4852" w:rsidRPr="00386790" w:rsidRDefault="00C74146" w:rsidP="004256F3">
            <w:pPr>
              <w:pStyle w:val="Standardeinzug"/>
              <w:rPr>
                <w:b/>
              </w:rPr>
            </w:pPr>
            <w:sdt>
              <w:sdtPr>
                <w:id w:val="207831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4256F3" w:rsidRPr="00386790">
              <w:rPr>
                <w:b/>
              </w:rPr>
              <w:t>I</w:t>
            </w:r>
            <w:r w:rsidR="00E55F9A" w:rsidRPr="00386790">
              <w:rPr>
                <w:b/>
              </w:rPr>
              <w:t>dentität des Erklärenden ist sicher festgestellt</w:t>
            </w:r>
          </w:p>
        </w:tc>
        <w:tc>
          <w:tcPr>
            <w:tcW w:w="7004" w:type="dxa"/>
            <w:shd w:val="clear" w:color="auto" w:fill="auto"/>
          </w:tcPr>
          <w:p w:rsidR="00CC4852" w:rsidRPr="00411288" w:rsidRDefault="00C74146" w:rsidP="00411288">
            <w:pPr>
              <w:pStyle w:val="Standardeinzug"/>
            </w:pPr>
            <w:sdt>
              <w:sdtPr>
                <w:id w:val="12991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Die Erklärung muss die Person des betroffenen Patienten erkennen lassen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16659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 xml:space="preserve">Im Fall der Erklärungsabgabe in Schriftform wurde die Erklärung </w:t>
            </w:r>
            <w:r w:rsidR="004256F3">
              <w:t>unter</w:t>
            </w:r>
            <w:r w:rsidR="00E55F9A" w:rsidRPr="00411288">
              <w:t>schrieben oder</w:t>
            </w:r>
          </w:p>
          <w:p w:rsidR="00CC4852" w:rsidRPr="00411288" w:rsidRDefault="00C74146" w:rsidP="00411288">
            <w:pPr>
              <w:pStyle w:val="Standardeinzug"/>
            </w:pPr>
            <w:sdt>
              <w:sdtPr>
                <w:id w:val="111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E55F9A" w:rsidRPr="00411288">
              <w:t>Im Fall der elektronischen Erklärungsabgabe muss die Identität des Patienten sichergestellt sein</w:t>
            </w:r>
          </w:p>
        </w:tc>
      </w:tr>
      <w:tr w:rsidR="00C316D0" w:rsidRPr="00C316D0" w:rsidTr="00386790">
        <w:trPr>
          <w:trHeight w:val="57"/>
        </w:trPr>
        <w:tc>
          <w:tcPr>
            <w:tcW w:w="2193" w:type="dxa"/>
            <w:shd w:val="clear" w:color="auto" w:fill="auto"/>
          </w:tcPr>
          <w:p w:rsidR="00C316D0" w:rsidRPr="00386790" w:rsidRDefault="00C74146" w:rsidP="004256F3">
            <w:pPr>
              <w:pStyle w:val="Standardeinzug"/>
              <w:rPr>
                <w:b/>
              </w:rPr>
            </w:pPr>
            <w:sdt>
              <w:sdtPr>
                <w:id w:val="9470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386790">
              <w:rPr>
                <w:b/>
              </w:rPr>
              <w:tab/>
            </w:r>
            <w:r w:rsidR="00C316D0" w:rsidRPr="00386790">
              <w:rPr>
                <w:b/>
              </w:rPr>
              <w:t>Nachweis der Einwilligung</w:t>
            </w:r>
          </w:p>
        </w:tc>
        <w:tc>
          <w:tcPr>
            <w:tcW w:w="7004" w:type="dxa"/>
            <w:shd w:val="clear" w:color="auto" w:fill="auto"/>
          </w:tcPr>
          <w:p w:rsidR="00C316D0" w:rsidRPr="00411288" w:rsidRDefault="00C74146" w:rsidP="00411288">
            <w:pPr>
              <w:pStyle w:val="Standardeinzug"/>
            </w:pPr>
            <w:r>
              <w:t>z</w:t>
            </w:r>
            <w:r w:rsidR="00C316D0" w:rsidRPr="00411288">
              <w:t>.B.:</w:t>
            </w:r>
          </w:p>
          <w:p w:rsidR="00C316D0" w:rsidRPr="00411288" w:rsidRDefault="00C74146" w:rsidP="00411288">
            <w:pPr>
              <w:pStyle w:val="Standardeinzug"/>
            </w:pPr>
            <w:sdt>
              <w:sdtPr>
                <w:id w:val="-95918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C316D0" w:rsidRPr="00411288">
              <w:t>Durch Dokumentation, soweit diese nicht in Schriftform mit Unterschrift des Patienten eingeholt werden soll,</w:t>
            </w:r>
          </w:p>
          <w:p w:rsidR="00C316D0" w:rsidRPr="00411288" w:rsidRDefault="00C74146" w:rsidP="00411288">
            <w:pPr>
              <w:pStyle w:val="Standardeinzug"/>
            </w:pPr>
            <w:sdt>
              <w:sdtPr>
                <w:id w:val="14353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C316D0" w:rsidRPr="00411288">
              <w:t>Durch Dokumentation der elektronisch übermittelten Einwilligung, z.B. durch Aufbewahrung einer entsprechenden E-Mail in der Patientendokumentation</w:t>
            </w:r>
          </w:p>
          <w:p w:rsidR="00C316D0" w:rsidRPr="00411288" w:rsidRDefault="00C74146" w:rsidP="00411288">
            <w:pPr>
              <w:pStyle w:val="Standardeinzug"/>
            </w:pPr>
            <w:sdt>
              <w:sdtPr>
                <w:id w:val="81445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C316D0" w:rsidRPr="00411288">
              <w:t>Durch Protokollierung des Klickverhaltens, falls die Erklärung elektronisch im Internet abgegeben wurde</w:t>
            </w:r>
          </w:p>
          <w:p w:rsidR="00C316D0" w:rsidRPr="00411288" w:rsidRDefault="00C74146" w:rsidP="00411288">
            <w:pPr>
              <w:pStyle w:val="Standardeinzug"/>
            </w:pPr>
            <w:sdt>
              <w:sdtPr>
                <w:id w:val="6772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43" w:rsidRPr="003867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B43" w:rsidRPr="005E261A">
              <w:tab/>
            </w:r>
            <w:r w:rsidR="00C316D0" w:rsidRPr="00411288">
              <w:t>Einwilligung liegt in Schriftform mit Unterschrift des Patienten vor</w:t>
            </w:r>
          </w:p>
        </w:tc>
      </w:tr>
    </w:tbl>
    <w:p w:rsidR="00CC4852" w:rsidRPr="00C316D0" w:rsidRDefault="00CC4852" w:rsidP="00E55F9A">
      <w:pPr>
        <w:spacing w:line="80" w:lineRule="exact"/>
        <w:rPr>
          <w:sz w:val="21"/>
        </w:rPr>
      </w:pPr>
      <w:bookmarkStart w:id="0" w:name="_GoBack"/>
      <w:bookmarkEnd w:id="0"/>
    </w:p>
    <w:sectPr w:rsidR="00CC4852" w:rsidRPr="00C316D0" w:rsidSect="009370B6">
      <w:pgSz w:w="11907" w:h="16840" w:code="9"/>
      <w:pgMar w:top="1134" w:right="567" w:bottom="1134" w:left="1134" w:header="14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9E" w:rsidRDefault="00E55F9A">
      <w:r>
        <w:separator/>
      </w:r>
    </w:p>
  </w:endnote>
  <w:endnote w:type="continuationSeparator" w:id="0">
    <w:p w:rsidR="004E279E" w:rsidRDefault="00E5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9E" w:rsidRDefault="00E55F9A">
      <w:r>
        <w:separator/>
      </w:r>
    </w:p>
  </w:footnote>
  <w:footnote w:type="continuationSeparator" w:id="0">
    <w:p w:rsidR="004E279E" w:rsidRDefault="00E5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1C76"/>
    <w:multiLevelType w:val="hybridMultilevel"/>
    <w:tmpl w:val="327C49B0"/>
    <w:lvl w:ilvl="0" w:tplc="4DB46052">
      <w:numFmt w:val="bullet"/>
      <w:lvlText w:val="□"/>
      <w:lvlJc w:val="left"/>
      <w:pPr>
        <w:ind w:left="397" w:hanging="331"/>
      </w:pPr>
      <w:rPr>
        <w:rFonts w:ascii="Calibri" w:eastAsia="Calibri" w:hAnsi="Calibri" w:cs="Calibri" w:hint="default"/>
        <w:color w:val="231F20"/>
        <w:w w:val="167"/>
        <w:sz w:val="21"/>
        <w:szCs w:val="21"/>
      </w:rPr>
    </w:lvl>
    <w:lvl w:ilvl="1" w:tplc="B84857C0">
      <w:numFmt w:val="bullet"/>
      <w:lvlText w:val="•"/>
      <w:lvlJc w:val="left"/>
      <w:pPr>
        <w:ind w:left="1058" w:hanging="331"/>
      </w:pPr>
      <w:rPr>
        <w:rFonts w:hint="default"/>
      </w:rPr>
    </w:lvl>
    <w:lvl w:ilvl="2" w:tplc="BA0CE546">
      <w:numFmt w:val="bullet"/>
      <w:lvlText w:val="•"/>
      <w:lvlJc w:val="left"/>
      <w:pPr>
        <w:ind w:left="1716" w:hanging="331"/>
      </w:pPr>
      <w:rPr>
        <w:rFonts w:hint="default"/>
      </w:rPr>
    </w:lvl>
    <w:lvl w:ilvl="3" w:tplc="5C48A3C0">
      <w:numFmt w:val="bullet"/>
      <w:lvlText w:val="•"/>
      <w:lvlJc w:val="left"/>
      <w:pPr>
        <w:ind w:left="2374" w:hanging="331"/>
      </w:pPr>
      <w:rPr>
        <w:rFonts w:hint="default"/>
      </w:rPr>
    </w:lvl>
    <w:lvl w:ilvl="4" w:tplc="A0D81F7E">
      <w:numFmt w:val="bullet"/>
      <w:lvlText w:val="•"/>
      <w:lvlJc w:val="left"/>
      <w:pPr>
        <w:ind w:left="3032" w:hanging="331"/>
      </w:pPr>
      <w:rPr>
        <w:rFonts w:hint="default"/>
      </w:rPr>
    </w:lvl>
    <w:lvl w:ilvl="5" w:tplc="84A42D06">
      <w:numFmt w:val="bullet"/>
      <w:lvlText w:val="•"/>
      <w:lvlJc w:val="left"/>
      <w:pPr>
        <w:ind w:left="3690" w:hanging="331"/>
      </w:pPr>
      <w:rPr>
        <w:rFonts w:hint="default"/>
      </w:rPr>
    </w:lvl>
    <w:lvl w:ilvl="6" w:tplc="8D3A5506">
      <w:numFmt w:val="bullet"/>
      <w:lvlText w:val="•"/>
      <w:lvlJc w:val="left"/>
      <w:pPr>
        <w:ind w:left="4348" w:hanging="331"/>
      </w:pPr>
      <w:rPr>
        <w:rFonts w:hint="default"/>
      </w:rPr>
    </w:lvl>
    <w:lvl w:ilvl="7" w:tplc="19EA9E1C">
      <w:numFmt w:val="bullet"/>
      <w:lvlText w:val="•"/>
      <w:lvlJc w:val="left"/>
      <w:pPr>
        <w:ind w:left="5007" w:hanging="331"/>
      </w:pPr>
      <w:rPr>
        <w:rFonts w:hint="default"/>
      </w:rPr>
    </w:lvl>
    <w:lvl w:ilvl="8" w:tplc="2CA874B4">
      <w:numFmt w:val="bullet"/>
      <w:lvlText w:val="•"/>
      <w:lvlJc w:val="left"/>
      <w:pPr>
        <w:ind w:left="5665" w:hanging="331"/>
      </w:pPr>
      <w:rPr>
        <w:rFonts w:hint="default"/>
      </w:rPr>
    </w:lvl>
  </w:abstractNum>
  <w:abstractNum w:abstractNumId="1" w15:restartNumberingAfterBreak="0">
    <w:nsid w:val="2D3206E8"/>
    <w:multiLevelType w:val="hybridMultilevel"/>
    <w:tmpl w:val="50B47CDC"/>
    <w:lvl w:ilvl="0" w:tplc="9212277E">
      <w:numFmt w:val="bullet"/>
      <w:lvlText w:val="□"/>
      <w:lvlJc w:val="left"/>
      <w:pPr>
        <w:ind w:left="397" w:hanging="331"/>
      </w:pPr>
      <w:rPr>
        <w:rFonts w:ascii="Calibri" w:eastAsia="Calibri" w:hAnsi="Calibri" w:cs="Calibri" w:hint="default"/>
        <w:color w:val="231F20"/>
        <w:w w:val="167"/>
        <w:sz w:val="21"/>
        <w:szCs w:val="21"/>
      </w:rPr>
    </w:lvl>
    <w:lvl w:ilvl="1" w:tplc="82AC9BCC">
      <w:numFmt w:val="bullet"/>
      <w:lvlText w:val="•"/>
      <w:lvlJc w:val="left"/>
      <w:pPr>
        <w:ind w:left="1058" w:hanging="331"/>
      </w:pPr>
      <w:rPr>
        <w:rFonts w:hint="default"/>
      </w:rPr>
    </w:lvl>
    <w:lvl w:ilvl="2" w:tplc="62A4A876">
      <w:numFmt w:val="bullet"/>
      <w:lvlText w:val="•"/>
      <w:lvlJc w:val="left"/>
      <w:pPr>
        <w:ind w:left="1716" w:hanging="331"/>
      </w:pPr>
      <w:rPr>
        <w:rFonts w:hint="default"/>
      </w:rPr>
    </w:lvl>
    <w:lvl w:ilvl="3" w:tplc="5CA6A3FC">
      <w:numFmt w:val="bullet"/>
      <w:lvlText w:val="•"/>
      <w:lvlJc w:val="left"/>
      <w:pPr>
        <w:ind w:left="2374" w:hanging="331"/>
      </w:pPr>
      <w:rPr>
        <w:rFonts w:hint="default"/>
      </w:rPr>
    </w:lvl>
    <w:lvl w:ilvl="4" w:tplc="9A7855E6">
      <w:numFmt w:val="bullet"/>
      <w:lvlText w:val="•"/>
      <w:lvlJc w:val="left"/>
      <w:pPr>
        <w:ind w:left="3032" w:hanging="331"/>
      </w:pPr>
      <w:rPr>
        <w:rFonts w:hint="default"/>
      </w:rPr>
    </w:lvl>
    <w:lvl w:ilvl="5" w:tplc="EEB08EF6">
      <w:numFmt w:val="bullet"/>
      <w:lvlText w:val="•"/>
      <w:lvlJc w:val="left"/>
      <w:pPr>
        <w:ind w:left="3690" w:hanging="331"/>
      </w:pPr>
      <w:rPr>
        <w:rFonts w:hint="default"/>
      </w:rPr>
    </w:lvl>
    <w:lvl w:ilvl="6" w:tplc="EB4E9DDA">
      <w:numFmt w:val="bullet"/>
      <w:lvlText w:val="•"/>
      <w:lvlJc w:val="left"/>
      <w:pPr>
        <w:ind w:left="4348" w:hanging="331"/>
      </w:pPr>
      <w:rPr>
        <w:rFonts w:hint="default"/>
      </w:rPr>
    </w:lvl>
    <w:lvl w:ilvl="7" w:tplc="569278AC">
      <w:numFmt w:val="bullet"/>
      <w:lvlText w:val="•"/>
      <w:lvlJc w:val="left"/>
      <w:pPr>
        <w:ind w:left="5007" w:hanging="331"/>
      </w:pPr>
      <w:rPr>
        <w:rFonts w:hint="default"/>
      </w:rPr>
    </w:lvl>
    <w:lvl w:ilvl="8" w:tplc="CDB08BD2">
      <w:numFmt w:val="bullet"/>
      <w:lvlText w:val="•"/>
      <w:lvlJc w:val="left"/>
      <w:pPr>
        <w:ind w:left="5665" w:hanging="331"/>
      </w:pPr>
      <w:rPr>
        <w:rFonts w:hint="default"/>
      </w:rPr>
    </w:lvl>
  </w:abstractNum>
  <w:abstractNum w:abstractNumId="2" w15:restartNumberingAfterBreak="0">
    <w:nsid w:val="33B26530"/>
    <w:multiLevelType w:val="hybridMultilevel"/>
    <w:tmpl w:val="394EF650"/>
    <w:lvl w:ilvl="0" w:tplc="F7066A7C">
      <w:numFmt w:val="bullet"/>
      <w:lvlText w:val="□"/>
      <w:lvlJc w:val="left"/>
      <w:pPr>
        <w:ind w:left="392" w:hanging="331"/>
      </w:pPr>
      <w:rPr>
        <w:rFonts w:ascii="Calibri" w:eastAsia="Calibri" w:hAnsi="Calibri" w:cs="Calibri" w:hint="default"/>
        <w:color w:val="231F20"/>
        <w:w w:val="167"/>
        <w:sz w:val="21"/>
        <w:szCs w:val="21"/>
      </w:rPr>
    </w:lvl>
    <w:lvl w:ilvl="1" w:tplc="AEF0C012">
      <w:numFmt w:val="bullet"/>
      <w:lvlText w:val="•"/>
      <w:lvlJc w:val="left"/>
      <w:pPr>
        <w:ind w:left="1058" w:hanging="331"/>
      </w:pPr>
      <w:rPr>
        <w:rFonts w:hint="default"/>
      </w:rPr>
    </w:lvl>
    <w:lvl w:ilvl="2" w:tplc="2E4C8DE8">
      <w:numFmt w:val="bullet"/>
      <w:lvlText w:val="•"/>
      <w:lvlJc w:val="left"/>
      <w:pPr>
        <w:ind w:left="1716" w:hanging="331"/>
      </w:pPr>
      <w:rPr>
        <w:rFonts w:hint="default"/>
      </w:rPr>
    </w:lvl>
    <w:lvl w:ilvl="3" w:tplc="8A84637C">
      <w:numFmt w:val="bullet"/>
      <w:lvlText w:val="•"/>
      <w:lvlJc w:val="left"/>
      <w:pPr>
        <w:ind w:left="2374" w:hanging="331"/>
      </w:pPr>
      <w:rPr>
        <w:rFonts w:hint="default"/>
      </w:rPr>
    </w:lvl>
    <w:lvl w:ilvl="4" w:tplc="14402A50">
      <w:numFmt w:val="bullet"/>
      <w:lvlText w:val="•"/>
      <w:lvlJc w:val="left"/>
      <w:pPr>
        <w:ind w:left="3032" w:hanging="331"/>
      </w:pPr>
      <w:rPr>
        <w:rFonts w:hint="default"/>
      </w:rPr>
    </w:lvl>
    <w:lvl w:ilvl="5" w:tplc="8D72C886">
      <w:numFmt w:val="bullet"/>
      <w:lvlText w:val="•"/>
      <w:lvlJc w:val="left"/>
      <w:pPr>
        <w:ind w:left="3690" w:hanging="331"/>
      </w:pPr>
      <w:rPr>
        <w:rFonts w:hint="default"/>
      </w:rPr>
    </w:lvl>
    <w:lvl w:ilvl="6" w:tplc="4E0803BC">
      <w:numFmt w:val="bullet"/>
      <w:lvlText w:val="•"/>
      <w:lvlJc w:val="left"/>
      <w:pPr>
        <w:ind w:left="4348" w:hanging="331"/>
      </w:pPr>
      <w:rPr>
        <w:rFonts w:hint="default"/>
      </w:rPr>
    </w:lvl>
    <w:lvl w:ilvl="7" w:tplc="AE72B844">
      <w:numFmt w:val="bullet"/>
      <w:lvlText w:val="•"/>
      <w:lvlJc w:val="left"/>
      <w:pPr>
        <w:ind w:left="5007" w:hanging="331"/>
      </w:pPr>
      <w:rPr>
        <w:rFonts w:hint="default"/>
      </w:rPr>
    </w:lvl>
    <w:lvl w:ilvl="8" w:tplc="81C60F46">
      <w:numFmt w:val="bullet"/>
      <w:lvlText w:val="•"/>
      <w:lvlJc w:val="left"/>
      <w:pPr>
        <w:ind w:left="5665" w:hanging="331"/>
      </w:pPr>
      <w:rPr>
        <w:rFonts w:hint="default"/>
      </w:rPr>
    </w:lvl>
  </w:abstractNum>
  <w:abstractNum w:abstractNumId="3" w15:restartNumberingAfterBreak="0">
    <w:nsid w:val="37BD0666"/>
    <w:multiLevelType w:val="hybridMultilevel"/>
    <w:tmpl w:val="60588E9E"/>
    <w:lvl w:ilvl="0" w:tplc="BC3AA7B8">
      <w:numFmt w:val="bullet"/>
      <w:lvlText w:val="□"/>
      <w:lvlJc w:val="left"/>
      <w:pPr>
        <w:ind w:left="392" w:hanging="331"/>
      </w:pPr>
      <w:rPr>
        <w:rFonts w:ascii="Calibri" w:eastAsia="Calibri" w:hAnsi="Calibri" w:cs="Calibri" w:hint="default"/>
        <w:color w:val="231F20"/>
        <w:w w:val="167"/>
        <w:sz w:val="21"/>
        <w:szCs w:val="21"/>
      </w:rPr>
    </w:lvl>
    <w:lvl w:ilvl="1" w:tplc="B838E00E">
      <w:numFmt w:val="bullet"/>
      <w:lvlText w:val="•"/>
      <w:lvlJc w:val="left"/>
      <w:pPr>
        <w:ind w:left="1058" w:hanging="331"/>
      </w:pPr>
      <w:rPr>
        <w:rFonts w:hint="default"/>
      </w:rPr>
    </w:lvl>
    <w:lvl w:ilvl="2" w:tplc="FFA87FFA">
      <w:numFmt w:val="bullet"/>
      <w:lvlText w:val="•"/>
      <w:lvlJc w:val="left"/>
      <w:pPr>
        <w:ind w:left="1716" w:hanging="331"/>
      </w:pPr>
      <w:rPr>
        <w:rFonts w:hint="default"/>
      </w:rPr>
    </w:lvl>
    <w:lvl w:ilvl="3" w:tplc="2F7C1EA0">
      <w:numFmt w:val="bullet"/>
      <w:lvlText w:val="•"/>
      <w:lvlJc w:val="left"/>
      <w:pPr>
        <w:ind w:left="2374" w:hanging="331"/>
      </w:pPr>
      <w:rPr>
        <w:rFonts w:hint="default"/>
      </w:rPr>
    </w:lvl>
    <w:lvl w:ilvl="4" w:tplc="2C4CC3E4">
      <w:numFmt w:val="bullet"/>
      <w:lvlText w:val="•"/>
      <w:lvlJc w:val="left"/>
      <w:pPr>
        <w:ind w:left="3032" w:hanging="331"/>
      </w:pPr>
      <w:rPr>
        <w:rFonts w:hint="default"/>
      </w:rPr>
    </w:lvl>
    <w:lvl w:ilvl="5" w:tplc="7BFE2348">
      <w:numFmt w:val="bullet"/>
      <w:lvlText w:val="•"/>
      <w:lvlJc w:val="left"/>
      <w:pPr>
        <w:ind w:left="3690" w:hanging="331"/>
      </w:pPr>
      <w:rPr>
        <w:rFonts w:hint="default"/>
      </w:rPr>
    </w:lvl>
    <w:lvl w:ilvl="6" w:tplc="EDA43474">
      <w:numFmt w:val="bullet"/>
      <w:lvlText w:val="•"/>
      <w:lvlJc w:val="left"/>
      <w:pPr>
        <w:ind w:left="4348" w:hanging="331"/>
      </w:pPr>
      <w:rPr>
        <w:rFonts w:hint="default"/>
      </w:rPr>
    </w:lvl>
    <w:lvl w:ilvl="7" w:tplc="BEF8D8C8">
      <w:numFmt w:val="bullet"/>
      <w:lvlText w:val="•"/>
      <w:lvlJc w:val="left"/>
      <w:pPr>
        <w:ind w:left="5007" w:hanging="331"/>
      </w:pPr>
      <w:rPr>
        <w:rFonts w:hint="default"/>
      </w:rPr>
    </w:lvl>
    <w:lvl w:ilvl="8" w:tplc="318C1FE6">
      <w:numFmt w:val="bullet"/>
      <w:lvlText w:val="•"/>
      <w:lvlJc w:val="left"/>
      <w:pPr>
        <w:ind w:left="5665" w:hanging="331"/>
      </w:pPr>
      <w:rPr>
        <w:rFonts w:hint="default"/>
      </w:rPr>
    </w:lvl>
  </w:abstractNum>
  <w:abstractNum w:abstractNumId="4" w15:restartNumberingAfterBreak="0">
    <w:nsid w:val="4E9C7D8A"/>
    <w:multiLevelType w:val="hybridMultilevel"/>
    <w:tmpl w:val="F3940CD0"/>
    <w:lvl w:ilvl="0" w:tplc="F29030AE">
      <w:numFmt w:val="bullet"/>
      <w:lvlText w:val="□"/>
      <w:lvlJc w:val="left"/>
      <w:pPr>
        <w:ind w:left="392" w:hanging="331"/>
      </w:pPr>
      <w:rPr>
        <w:rFonts w:ascii="Calibri" w:eastAsia="Calibri" w:hAnsi="Calibri" w:cs="Calibri" w:hint="default"/>
        <w:color w:val="231F20"/>
        <w:w w:val="167"/>
        <w:sz w:val="21"/>
        <w:szCs w:val="21"/>
      </w:rPr>
    </w:lvl>
    <w:lvl w:ilvl="1" w:tplc="E7949CD0">
      <w:numFmt w:val="bullet"/>
      <w:lvlText w:val="•"/>
      <w:lvlJc w:val="left"/>
      <w:pPr>
        <w:ind w:left="1058" w:hanging="331"/>
      </w:pPr>
      <w:rPr>
        <w:rFonts w:hint="default"/>
      </w:rPr>
    </w:lvl>
    <w:lvl w:ilvl="2" w:tplc="81E4A6EA">
      <w:numFmt w:val="bullet"/>
      <w:lvlText w:val="•"/>
      <w:lvlJc w:val="left"/>
      <w:pPr>
        <w:ind w:left="1716" w:hanging="331"/>
      </w:pPr>
      <w:rPr>
        <w:rFonts w:hint="default"/>
      </w:rPr>
    </w:lvl>
    <w:lvl w:ilvl="3" w:tplc="EAEE72F4">
      <w:numFmt w:val="bullet"/>
      <w:lvlText w:val="•"/>
      <w:lvlJc w:val="left"/>
      <w:pPr>
        <w:ind w:left="2374" w:hanging="331"/>
      </w:pPr>
      <w:rPr>
        <w:rFonts w:hint="default"/>
      </w:rPr>
    </w:lvl>
    <w:lvl w:ilvl="4" w:tplc="5B680F40">
      <w:numFmt w:val="bullet"/>
      <w:lvlText w:val="•"/>
      <w:lvlJc w:val="left"/>
      <w:pPr>
        <w:ind w:left="3032" w:hanging="331"/>
      </w:pPr>
      <w:rPr>
        <w:rFonts w:hint="default"/>
      </w:rPr>
    </w:lvl>
    <w:lvl w:ilvl="5" w:tplc="7BC22224">
      <w:numFmt w:val="bullet"/>
      <w:lvlText w:val="•"/>
      <w:lvlJc w:val="left"/>
      <w:pPr>
        <w:ind w:left="3690" w:hanging="331"/>
      </w:pPr>
      <w:rPr>
        <w:rFonts w:hint="default"/>
      </w:rPr>
    </w:lvl>
    <w:lvl w:ilvl="6" w:tplc="3D0ED04A">
      <w:numFmt w:val="bullet"/>
      <w:lvlText w:val="•"/>
      <w:lvlJc w:val="left"/>
      <w:pPr>
        <w:ind w:left="4348" w:hanging="331"/>
      </w:pPr>
      <w:rPr>
        <w:rFonts w:hint="default"/>
      </w:rPr>
    </w:lvl>
    <w:lvl w:ilvl="7" w:tplc="27B4A7CE">
      <w:numFmt w:val="bullet"/>
      <w:lvlText w:val="•"/>
      <w:lvlJc w:val="left"/>
      <w:pPr>
        <w:ind w:left="5007" w:hanging="331"/>
      </w:pPr>
      <w:rPr>
        <w:rFonts w:hint="default"/>
      </w:rPr>
    </w:lvl>
    <w:lvl w:ilvl="8" w:tplc="F5F8ED04">
      <w:numFmt w:val="bullet"/>
      <w:lvlText w:val="•"/>
      <w:lvlJc w:val="left"/>
      <w:pPr>
        <w:ind w:left="5665" w:hanging="331"/>
      </w:pPr>
      <w:rPr>
        <w:rFonts w:hint="default"/>
      </w:rPr>
    </w:lvl>
  </w:abstractNum>
  <w:abstractNum w:abstractNumId="5" w15:restartNumberingAfterBreak="0">
    <w:nsid w:val="50396233"/>
    <w:multiLevelType w:val="hybridMultilevel"/>
    <w:tmpl w:val="FAD6A7E2"/>
    <w:lvl w:ilvl="0" w:tplc="3500BB8E">
      <w:numFmt w:val="bullet"/>
      <w:lvlText w:val="□"/>
      <w:lvlJc w:val="left"/>
      <w:pPr>
        <w:ind w:left="392" w:hanging="331"/>
      </w:pPr>
      <w:rPr>
        <w:rFonts w:ascii="Calibri" w:eastAsia="Calibri" w:hAnsi="Calibri" w:cs="Calibri" w:hint="default"/>
        <w:color w:val="231F20"/>
        <w:w w:val="167"/>
        <w:sz w:val="21"/>
        <w:szCs w:val="21"/>
      </w:rPr>
    </w:lvl>
    <w:lvl w:ilvl="1" w:tplc="CDC48B94">
      <w:numFmt w:val="bullet"/>
      <w:lvlText w:val="•"/>
      <w:lvlJc w:val="left"/>
      <w:pPr>
        <w:ind w:left="1058" w:hanging="331"/>
      </w:pPr>
      <w:rPr>
        <w:rFonts w:hint="default"/>
      </w:rPr>
    </w:lvl>
    <w:lvl w:ilvl="2" w:tplc="357C35EA">
      <w:numFmt w:val="bullet"/>
      <w:lvlText w:val="•"/>
      <w:lvlJc w:val="left"/>
      <w:pPr>
        <w:ind w:left="1716" w:hanging="331"/>
      </w:pPr>
      <w:rPr>
        <w:rFonts w:hint="default"/>
      </w:rPr>
    </w:lvl>
    <w:lvl w:ilvl="3" w:tplc="B036AA3E">
      <w:numFmt w:val="bullet"/>
      <w:lvlText w:val="•"/>
      <w:lvlJc w:val="left"/>
      <w:pPr>
        <w:ind w:left="2374" w:hanging="331"/>
      </w:pPr>
      <w:rPr>
        <w:rFonts w:hint="default"/>
      </w:rPr>
    </w:lvl>
    <w:lvl w:ilvl="4" w:tplc="C03EBC36">
      <w:numFmt w:val="bullet"/>
      <w:lvlText w:val="•"/>
      <w:lvlJc w:val="left"/>
      <w:pPr>
        <w:ind w:left="3032" w:hanging="331"/>
      </w:pPr>
      <w:rPr>
        <w:rFonts w:hint="default"/>
      </w:rPr>
    </w:lvl>
    <w:lvl w:ilvl="5" w:tplc="FDC04244">
      <w:numFmt w:val="bullet"/>
      <w:lvlText w:val="•"/>
      <w:lvlJc w:val="left"/>
      <w:pPr>
        <w:ind w:left="3690" w:hanging="331"/>
      </w:pPr>
      <w:rPr>
        <w:rFonts w:hint="default"/>
      </w:rPr>
    </w:lvl>
    <w:lvl w:ilvl="6" w:tplc="7CFC6F66">
      <w:numFmt w:val="bullet"/>
      <w:lvlText w:val="•"/>
      <w:lvlJc w:val="left"/>
      <w:pPr>
        <w:ind w:left="4348" w:hanging="331"/>
      </w:pPr>
      <w:rPr>
        <w:rFonts w:hint="default"/>
      </w:rPr>
    </w:lvl>
    <w:lvl w:ilvl="7" w:tplc="FDCABF48">
      <w:numFmt w:val="bullet"/>
      <w:lvlText w:val="•"/>
      <w:lvlJc w:val="left"/>
      <w:pPr>
        <w:ind w:left="5007" w:hanging="331"/>
      </w:pPr>
      <w:rPr>
        <w:rFonts w:hint="default"/>
      </w:rPr>
    </w:lvl>
    <w:lvl w:ilvl="8" w:tplc="E0CA59C8">
      <w:numFmt w:val="bullet"/>
      <w:lvlText w:val="•"/>
      <w:lvlJc w:val="left"/>
      <w:pPr>
        <w:ind w:left="5665" w:hanging="331"/>
      </w:pPr>
      <w:rPr>
        <w:rFonts w:hint="default"/>
      </w:rPr>
    </w:lvl>
  </w:abstractNum>
  <w:abstractNum w:abstractNumId="6" w15:restartNumberingAfterBreak="0">
    <w:nsid w:val="5FC37DDC"/>
    <w:multiLevelType w:val="hybridMultilevel"/>
    <w:tmpl w:val="7E6C861E"/>
    <w:lvl w:ilvl="0" w:tplc="C3EE0D3C">
      <w:numFmt w:val="bullet"/>
      <w:lvlText w:val="□"/>
      <w:lvlJc w:val="left"/>
      <w:pPr>
        <w:ind w:left="392" w:hanging="331"/>
      </w:pPr>
      <w:rPr>
        <w:rFonts w:ascii="Calibri" w:eastAsia="Calibri" w:hAnsi="Calibri" w:cs="Calibri" w:hint="default"/>
        <w:color w:val="231F20"/>
        <w:w w:val="167"/>
        <w:sz w:val="21"/>
        <w:szCs w:val="21"/>
      </w:rPr>
    </w:lvl>
    <w:lvl w:ilvl="1" w:tplc="1DBE719E">
      <w:numFmt w:val="bullet"/>
      <w:lvlText w:val="•"/>
      <w:lvlJc w:val="left"/>
      <w:pPr>
        <w:ind w:left="1058" w:hanging="331"/>
      </w:pPr>
      <w:rPr>
        <w:rFonts w:hint="default"/>
      </w:rPr>
    </w:lvl>
    <w:lvl w:ilvl="2" w:tplc="18886B56">
      <w:numFmt w:val="bullet"/>
      <w:lvlText w:val="•"/>
      <w:lvlJc w:val="left"/>
      <w:pPr>
        <w:ind w:left="1716" w:hanging="331"/>
      </w:pPr>
      <w:rPr>
        <w:rFonts w:hint="default"/>
      </w:rPr>
    </w:lvl>
    <w:lvl w:ilvl="3" w:tplc="3A7400F4">
      <w:numFmt w:val="bullet"/>
      <w:lvlText w:val="•"/>
      <w:lvlJc w:val="left"/>
      <w:pPr>
        <w:ind w:left="2374" w:hanging="331"/>
      </w:pPr>
      <w:rPr>
        <w:rFonts w:hint="default"/>
      </w:rPr>
    </w:lvl>
    <w:lvl w:ilvl="4" w:tplc="0CEC39A4">
      <w:numFmt w:val="bullet"/>
      <w:lvlText w:val="•"/>
      <w:lvlJc w:val="left"/>
      <w:pPr>
        <w:ind w:left="3032" w:hanging="331"/>
      </w:pPr>
      <w:rPr>
        <w:rFonts w:hint="default"/>
      </w:rPr>
    </w:lvl>
    <w:lvl w:ilvl="5" w:tplc="B5449732">
      <w:numFmt w:val="bullet"/>
      <w:lvlText w:val="•"/>
      <w:lvlJc w:val="left"/>
      <w:pPr>
        <w:ind w:left="3690" w:hanging="331"/>
      </w:pPr>
      <w:rPr>
        <w:rFonts w:hint="default"/>
      </w:rPr>
    </w:lvl>
    <w:lvl w:ilvl="6" w:tplc="CF5C7EA8">
      <w:numFmt w:val="bullet"/>
      <w:lvlText w:val="•"/>
      <w:lvlJc w:val="left"/>
      <w:pPr>
        <w:ind w:left="4348" w:hanging="331"/>
      </w:pPr>
      <w:rPr>
        <w:rFonts w:hint="default"/>
      </w:rPr>
    </w:lvl>
    <w:lvl w:ilvl="7" w:tplc="5F92C564">
      <w:numFmt w:val="bullet"/>
      <w:lvlText w:val="•"/>
      <w:lvlJc w:val="left"/>
      <w:pPr>
        <w:ind w:left="5007" w:hanging="331"/>
      </w:pPr>
      <w:rPr>
        <w:rFonts w:hint="default"/>
      </w:rPr>
    </w:lvl>
    <w:lvl w:ilvl="8" w:tplc="38C41C5A">
      <w:numFmt w:val="bullet"/>
      <w:lvlText w:val="•"/>
      <w:lvlJc w:val="left"/>
      <w:pPr>
        <w:ind w:left="5665" w:hanging="331"/>
      </w:pPr>
      <w:rPr>
        <w:rFonts w:hint="default"/>
      </w:rPr>
    </w:lvl>
  </w:abstractNum>
  <w:abstractNum w:abstractNumId="7" w15:restartNumberingAfterBreak="0">
    <w:nsid w:val="676D195C"/>
    <w:multiLevelType w:val="hybridMultilevel"/>
    <w:tmpl w:val="1EA06180"/>
    <w:lvl w:ilvl="0" w:tplc="D1E82F36">
      <w:numFmt w:val="bullet"/>
      <w:lvlText w:val="□"/>
      <w:lvlJc w:val="left"/>
      <w:pPr>
        <w:ind w:left="392" w:hanging="331"/>
      </w:pPr>
      <w:rPr>
        <w:rFonts w:ascii="Calibri" w:eastAsia="Calibri" w:hAnsi="Calibri" w:cs="Calibri" w:hint="default"/>
        <w:color w:val="231F20"/>
        <w:w w:val="167"/>
        <w:sz w:val="21"/>
        <w:szCs w:val="21"/>
      </w:rPr>
    </w:lvl>
    <w:lvl w:ilvl="1" w:tplc="93F6B69E">
      <w:numFmt w:val="bullet"/>
      <w:lvlText w:val="•"/>
      <w:lvlJc w:val="left"/>
      <w:pPr>
        <w:ind w:left="1058" w:hanging="331"/>
      </w:pPr>
      <w:rPr>
        <w:rFonts w:hint="default"/>
      </w:rPr>
    </w:lvl>
    <w:lvl w:ilvl="2" w:tplc="846814A8">
      <w:numFmt w:val="bullet"/>
      <w:lvlText w:val="•"/>
      <w:lvlJc w:val="left"/>
      <w:pPr>
        <w:ind w:left="1716" w:hanging="331"/>
      </w:pPr>
      <w:rPr>
        <w:rFonts w:hint="default"/>
      </w:rPr>
    </w:lvl>
    <w:lvl w:ilvl="3" w:tplc="EE561E1A">
      <w:numFmt w:val="bullet"/>
      <w:lvlText w:val="•"/>
      <w:lvlJc w:val="left"/>
      <w:pPr>
        <w:ind w:left="2374" w:hanging="331"/>
      </w:pPr>
      <w:rPr>
        <w:rFonts w:hint="default"/>
      </w:rPr>
    </w:lvl>
    <w:lvl w:ilvl="4" w:tplc="228A952A">
      <w:numFmt w:val="bullet"/>
      <w:lvlText w:val="•"/>
      <w:lvlJc w:val="left"/>
      <w:pPr>
        <w:ind w:left="3032" w:hanging="331"/>
      </w:pPr>
      <w:rPr>
        <w:rFonts w:hint="default"/>
      </w:rPr>
    </w:lvl>
    <w:lvl w:ilvl="5" w:tplc="047C5C58">
      <w:numFmt w:val="bullet"/>
      <w:lvlText w:val="•"/>
      <w:lvlJc w:val="left"/>
      <w:pPr>
        <w:ind w:left="3690" w:hanging="331"/>
      </w:pPr>
      <w:rPr>
        <w:rFonts w:hint="default"/>
      </w:rPr>
    </w:lvl>
    <w:lvl w:ilvl="6" w:tplc="0826E14E">
      <w:numFmt w:val="bullet"/>
      <w:lvlText w:val="•"/>
      <w:lvlJc w:val="left"/>
      <w:pPr>
        <w:ind w:left="4348" w:hanging="331"/>
      </w:pPr>
      <w:rPr>
        <w:rFonts w:hint="default"/>
      </w:rPr>
    </w:lvl>
    <w:lvl w:ilvl="7" w:tplc="EDFA30E6">
      <w:numFmt w:val="bullet"/>
      <w:lvlText w:val="•"/>
      <w:lvlJc w:val="left"/>
      <w:pPr>
        <w:ind w:left="5007" w:hanging="331"/>
      </w:pPr>
      <w:rPr>
        <w:rFonts w:hint="default"/>
      </w:rPr>
    </w:lvl>
    <w:lvl w:ilvl="8" w:tplc="3946B07C">
      <w:numFmt w:val="bullet"/>
      <w:lvlText w:val="•"/>
      <w:lvlJc w:val="left"/>
      <w:pPr>
        <w:ind w:left="5665" w:hanging="331"/>
      </w:pPr>
      <w:rPr>
        <w:rFonts w:hint="default"/>
      </w:rPr>
    </w:lvl>
  </w:abstractNum>
  <w:abstractNum w:abstractNumId="8" w15:restartNumberingAfterBreak="0">
    <w:nsid w:val="774A3283"/>
    <w:multiLevelType w:val="hybridMultilevel"/>
    <w:tmpl w:val="216ED89A"/>
    <w:lvl w:ilvl="0" w:tplc="46FA5E76">
      <w:numFmt w:val="bullet"/>
      <w:lvlText w:val="□"/>
      <w:lvlJc w:val="left"/>
      <w:pPr>
        <w:ind w:left="392" w:hanging="331"/>
      </w:pPr>
      <w:rPr>
        <w:rFonts w:ascii="Calibri" w:eastAsia="Calibri" w:hAnsi="Calibri" w:cs="Calibri" w:hint="default"/>
        <w:color w:val="231F20"/>
        <w:w w:val="167"/>
        <w:sz w:val="21"/>
        <w:szCs w:val="21"/>
      </w:rPr>
    </w:lvl>
    <w:lvl w:ilvl="1" w:tplc="471202C2">
      <w:numFmt w:val="bullet"/>
      <w:lvlText w:val="•"/>
      <w:lvlJc w:val="left"/>
      <w:pPr>
        <w:ind w:left="1058" w:hanging="331"/>
      </w:pPr>
      <w:rPr>
        <w:rFonts w:hint="default"/>
      </w:rPr>
    </w:lvl>
    <w:lvl w:ilvl="2" w:tplc="1F6E1FF6">
      <w:numFmt w:val="bullet"/>
      <w:lvlText w:val="•"/>
      <w:lvlJc w:val="left"/>
      <w:pPr>
        <w:ind w:left="1716" w:hanging="331"/>
      </w:pPr>
      <w:rPr>
        <w:rFonts w:hint="default"/>
      </w:rPr>
    </w:lvl>
    <w:lvl w:ilvl="3" w:tplc="9D346064">
      <w:numFmt w:val="bullet"/>
      <w:lvlText w:val="•"/>
      <w:lvlJc w:val="left"/>
      <w:pPr>
        <w:ind w:left="2374" w:hanging="331"/>
      </w:pPr>
      <w:rPr>
        <w:rFonts w:hint="default"/>
      </w:rPr>
    </w:lvl>
    <w:lvl w:ilvl="4" w:tplc="5AF00694">
      <w:numFmt w:val="bullet"/>
      <w:lvlText w:val="•"/>
      <w:lvlJc w:val="left"/>
      <w:pPr>
        <w:ind w:left="3032" w:hanging="331"/>
      </w:pPr>
      <w:rPr>
        <w:rFonts w:hint="default"/>
      </w:rPr>
    </w:lvl>
    <w:lvl w:ilvl="5" w:tplc="D640EE9E">
      <w:numFmt w:val="bullet"/>
      <w:lvlText w:val="•"/>
      <w:lvlJc w:val="left"/>
      <w:pPr>
        <w:ind w:left="3690" w:hanging="331"/>
      </w:pPr>
      <w:rPr>
        <w:rFonts w:hint="default"/>
      </w:rPr>
    </w:lvl>
    <w:lvl w:ilvl="6" w:tplc="D59A178E">
      <w:numFmt w:val="bullet"/>
      <w:lvlText w:val="•"/>
      <w:lvlJc w:val="left"/>
      <w:pPr>
        <w:ind w:left="4348" w:hanging="331"/>
      </w:pPr>
      <w:rPr>
        <w:rFonts w:hint="default"/>
      </w:rPr>
    </w:lvl>
    <w:lvl w:ilvl="7" w:tplc="2460C4E0">
      <w:numFmt w:val="bullet"/>
      <w:lvlText w:val="•"/>
      <w:lvlJc w:val="left"/>
      <w:pPr>
        <w:ind w:left="5007" w:hanging="331"/>
      </w:pPr>
      <w:rPr>
        <w:rFonts w:hint="default"/>
      </w:rPr>
    </w:lvl>
    <w:lvl w:ilvl="8" w:tplc="3F2E55A8">
      <w:numFmt w:val="bullet"/>
      <w:lvlText w:val="•"/>
      <w:lvlJc w:val="left"/>
      <w:pPr>
        <w:ind w:left="5665" w:hanging="331"/>
      </w:pPr>
      <w:rPr>
        <w:rFonts w:hint="default"/>
      </w:rPr>
    </w:lvl>
  </w:abstractNum>
  <w:abstractNum w:abstractNumId="9" w15:restartNumberingAfterBreak="0">
    <w:nsid w:val="79174133"/>
    <w:multiLevelType w:val="hybridMultilevel"/>
    <w:tmpl w:val="E4C86CCC"/>
    <w:lvl w:ilvl="0" w:tplc="659A5070">
      <w:numFmt w:val="bullet"/>
      <w:lvlText w:val="□"/>
      <w:lvlJc w:val="left"/>
      <w:pPr>
        <w:ind w:left="396" w:hanging="331"/>
      </w:pPr>
      <w:rPr>
        <w:rFonts w:ascii="Calibri" w:eastAsia="Calibri" w:hAnsi="Calibri" w:cs="Calibri" w:hint="default"/>
        <w:color w:val="231F20"/>
        <w:w w:val="167"/>
        <w:sz w:val="21"/>
        <w:szCs w:val="21"/>
      </w:rPr>
    </w:lvl>
    <w:lvl w:ilvl="1" w:tplc="56766F6E">
      <w:numFmt w:val="bullet"/>
      <w:lvlText w:val="•"/>
      <w:lvlJc w:val="left"/>
      <w:pPr>
        <w:ind w:left="1058" w:hanging="331"/>
      </w:pPr>
      <w:rPr>
        <w:rFonts w:hint="default"/>
      </w:rPr>
    </w:lvl>
    <w:lvl w:ilvl="2" w:tplc="472CCD98">
      <w:numFmt w:val="bullet"/>
      <w:lvlText w:val="•"/>
      <w:lvlJc w:val="left"/>
      <w:pPr>
        <w:ind w:left="1717" w:hanging="331"/>
      </w:pPr>
      <w:rPr>
        <w:rFonts w:hint="default"/>
      </w:rPr>
    </w:lvl>
    <w:lvl w:ilvl="3" w:tplc="C794FB38">
      <w:numFmt w:val="bullet"/>
      <w:lvlText w:val="•"/>
      <w:lvlJc w:val="left"/>
      <w:pPr>
        <w:ind w:left="2375" w:hanging="331"/>
      </w:pPr>
      <w:rPr>
        <w:rFonts w:hint="default"/>
      </w:rPr>
    </w:lvl>
    <w:lvl w:ilvl="4" w:tplc="41BA0958">
      <w:numFmt w:val="bullet"/>
      <w:lvlText w:val="•"/>
      <w:lvlJc w:val="left"/>
      <w:pPr>
        <w:ind w:left="3034" w:hanging="331"/>
      </w:pPr>
      <w:rPr>
        <w:rFonts w:hint="default"/>
      </w:rPr>
    </w:lvl>
    <w:lvl w:ilvl="5" w:tplc="E3CC9706">
      <w:numFmt w:val="bullet"/>
      <w:lvlText w:val="•"/>
      <w:lvlJc w:val="left"/>
      <w:pPr>
        <w:ind w:left="3692" w:hanging="331"/>
      </w:pPr>
      <w:rPr>
        <w:rFonts w:hint="default"/>
      </w:rPr>
    </w:lvl>
    <w:lvl w:ilvl="6" w:tplc="357414DC">
      <w:numFmt w:val="bullet"/>
      <w:lvlText w:val="•"/>
      <w:lvlJc w:val="left"/>
      <w:pPr>
        <w:ind w:left="4351" w:hanging="331"/>
      </w:pPr>
      <w:rPr>
        <w:rFonts w:hint="default"/>
      </w:rPr>
    </w:lvl>
    <w:lvl w:ilvl="7" w:tplc="C2A4BEBA">
      <w:numFmt w:val="bullet"/>
      <w:lvlText w:val="•"/>
      <w:lvlJc w:val="left"/>
      <w:pPr>
        <w:ind w:left="5009" w:hanging="331"/>
      </w:pPr>
      <w:rPr>
        <w:rFonts w:hint="default"/>
      </w:rPr>
    </w:lvl>
    <w:lvl w:ilvl="8" w:tplc="7F56680A">
      <w:numFmt w:val="bullet"/>
      <w:lvlText w:val="•"/>
      <w:lvlJc w:val="left"/>
      <w:pPr>
        <w:ind w:left="5668" w:hanging="33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52"/>
    <w:rsid w:val="00162521"/>
    <w:rsid w:val="00386790"/>
    <w:rsid w:val="003B621F"/>
    <w:rsid w:val="00411288"/>
    <w:rsid w:val="004256F3"/>
    <w:rsid w:val="00462637"/>
    <w:rsid w:val="004E279E"/>
    <w:rsid w:val="0064789A"/>
    <w:rsid w:val="006E28C4"/>
    <w:rsid w:val="00830477"/>
    <w:rsid w:val="009370B6"/>
    <w:rsid w:val="009B1E03"/>
    <w:rsid w:val="00AB1830"/>
    <w:rsid w:val="00B20B43"/>
    <w:rsid w:val="00C316D0"/>
    <w:rsid w:val="00C74146"/>
    <w:rsid w:val="00CC4852"/>
    <w:rsid w:val="00E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D75BD"/>
  <w15:docId w15:val="{3D668F23-D51E-48EE-B9B3-973F02C2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86790"/>
    <w:pPr>
      <w:widowControl/>
    </w:pPr>
    <w:rPr>
      <w:rFonts w:ascii="Arial" w:eastAsia="Calibri" w:hAnsi="Arial" w:cs="Calibri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1E03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1"/>
      <w:ind w:left="392" w:hanging="330"/>
    </w:pPr>
    <w:rPr>
      <w:rFonts w:ascii="Calibri" w:hAnsi="Calibri"/>
    </w:rPr>
  </w:style>
  <w:style w:type="paragraph" w:styleId="Kopfzeile">
    <w:name w:val="header"/>
    <w:basedOn w:val="Standard"/>
    <w:link w:val="KopfzeileZchn"/>
    <w:uiPriority w:val="99"/>
    <w:unhideWhenUsed/>
    <w:rsid w:val="00C31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16D0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1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16D0"/>
    <w:rPr>
      <w:rFonts w:ascii="Calibri" w:eastAsia="Calibri" w:hAnsi="Calibri" w:cs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1E03"/>
    <w:rPr>
      <w:rFonts w:ascii="Arial" w:eastAsiaTheme="majorEastAsia" w:hAnsi="Arial" w:cstheme="majorBidi"/>
      <w:b/>
      <w:sz w:val="32"/>
      <w:szCs w:val="32"/>
      <w:lang w:val="de-DE"/>
    </w:rPr>
  </w:style>
  <w:style w:type="paragraph" w:styleId="Standardeinzug">
    <w:name w:val="Normal Indent"/>
    <w:basedOn w:val="Standard"/>
    <w:uiPriority w:val="99"/>
    <w:unhideWhenUsed/>
    <w:rsid w:val="00B20B43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in der ärztlichen Praxis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Hellenbroich, Sarah</cp:lastModifiedBy>
  <cp:revision>17</cp:revision>
  <dcterms:created xsi:type="dcterms:W3CDTF">2019-08-09T12:57:00Z</dcterms:created>
  <dcterms:modified xsi:type="dcterms:W3CDTF">2019-08-12T07:12:00Z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2019-08-09T00:00:00Z</vt:filetime>
  </property>
</Properties>
</file>