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B" w:rsidRDefault="006118C4" w:rsidP="00851663">
      <w:pPr>
        <w:pStyle w:val="berschrift1"/>
      </w:pPr>
      <w:r w:rsidRPr="009322DB">
        <w:t xml:space="preserve">Checkliste: </w:t>
      </w:r>
    </w:p>
    <w:p w:rsidR="00685EB2" w:rsidRPr="009322DB" w:rsidRDefault="006118C4" w:rsidP="00851663">
      <w:pPr>
        <w:pStyle w:val="berschrift1"/>
      </w:pPr>
      <w:bookmarkStart w:id="0" w:name="_GoBack"/>
      <w:bookmarkEnd w:id="0"/>
      <w:r w:rsidRPr="009322DB">
        <w:t>Zusammenfassung der Grundlagen für die Datenverarbeitung in der ärztlichen Praxis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99"/>
        <w:gridCol w:w="4599"/>
      </w:tblGrid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1168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Wirksame Einwilligung des Patienten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t>Art. 9 Abs. 2 Buchst. a DS-GVO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-9848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Pflichten aus dem Arbeitsrecht oder Sozialrecht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t>Art. 9 Abs. 2 Buchst. b DS-GVO</w:t>
            </w:r>
          </w:p>
          <w:p w:rsidR="00685EB2" w:rsidRPr="006118C4" w:rsidRDefault="006118C4" w:rsidP="003B7238">
            <w:r w:rsidRPr="006118C4">
              <w:t>vgl. § 22 Abs. 1 Nr. 1 Buchst. a BDSG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14214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Schutz lebenswichtiger Interessen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t>Art. 9 Abs. 2 Buchst. c DS-GVO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11719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Offenkundig öffentliche Daten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t>Art. 9 Abs. 2 Buchst. e DS-GVO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-8768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Durchsetzung von Rechtsansprüchen,</w:t>
            </w:r>
            <w:r w:rsidR="00F03B66" w:rsidRPr="00F03B66">
              <w:rPr>
                <w:b/>
              </w:rPr>
              <w:t xml:space="preserve"> </w:t>
            </w:r>
            <w:r w:rsidR="00F03B66" w:rsidRPr="00F03B66">
              <w:rPr>
                <w:b/>
              </w:rPr>
              <w:br/>
            </w:r>
            <w:r w:rsidR="006118C4" w:rsidRPr="00F03B66">
              <w:rPr>
                <w:b/>
              </w:rPr>
              <w:t>z.B. Behandlungsfehlerprozess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rPr>
                <w:w w:val="105"/>
              </w:rPr>
              <w:t>Art. 9 Abs. 2 Buchst. f DS-GVO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-21145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Wichtiges öffentliches Interesse,</w:t>
            </w:r>
            <w:r w:rsidR="00F03B66" w:rsidRPr="00F03B66">
              <w:rPr>
                <w:b/>
              </w:rPr>
              <w:t xml:space="preserve"> </w:t>
            </w:r>
            <w:r w:rsidR="00F03B66" w:rsidRPr="00F03B66">
              <w:rPr>
                <w:b/>
              </w:rPr>
              <w:br/>
            </w:r>
            <w:r w:rsidR="006118C4" w:rsidRPr="00F03B66">
              <w:rPr>
                <w:b/>
              </w:rPr>
              <w:t>z.B. Katastrophenschutz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rPr>
                <w:w w:val="105"/>
              </w:rPr>
              <w:t>Art. 9 Abs. 2 Buchst. g DS-GVO</w:t>
            </w:r>
          </w:p>
          <w:p w:rsidR="00685EB2" w:rsidRPr="006118C4" w:rsidRDefault="006118C4" w:rsidP="003B7238">
            <w:r w:rsidRPr="006118C4">
              <w:t>§ 22 Abs. 1 Nr. 1 Buchst. d BDSG-E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19833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Gesundheitsversorgung, insbesondere medizinische Behandlung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t>Art. 9 Abs. 2 Buchst. h DS-GVO i.V.m.</w:t>
            </w:r>
          </w:p>
          <w:p w:rsidR="00685EB2" w:rsidRPr="006118C4" w:rsidRDefault="006118C4" w:rsidP="003B7238">
            <w:r w:rsidRPr="006118C4">
              <w:t>§ 22 Abs. 1 Nr. 1 Buchst. b BDSG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13472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Interessen der öffentlichen Gesundheit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rPr>
                <w:w w:val="105"/>
              </w:rPr>
              <w:t>Art. 9 Abs. 2 Buchst. i DS-GVO</w:t>
            </w:r>
          </w:p>
          <w:p w:rsidR="00685EB2" w:rsidRPr="006118C4" w:rsidRDefault="006118C4" w:rsidP="003B7238">
            <w:r w:rsidRPr="006118C4">
              <w:t>§ 22 Abs. 1 Nr. 1 Buchst. c BDSG</w:t>
            </w:r>
          </w:p>
        </w:tc>
      </w:tr>
      <w:tr w:rsidR="00685EB2" w:rsidRPr="003B7238" w:rsidTr="00F03B66">
        <w:trPr>
          <w:trHeight w:val="57"/>
        </w:trPr>
        <w:tc>
          <w:tcPr>
            <w:tcW w:w="4599" w:type="dxa"/>
            <w:shd w:val="clear" w:color="auto" w:fill="auto"/>
          </w:tcPr>
          <w:p w:rsidR="00685EB2" w:rsidRPr="00F03B66" w:rsidRDefault="00DC150B" w:rsidP="00F03B66">
            <w:pPr>
              <w:pStyle w:val="Standardeinzug"/>
              <w:rPr>
                <w:b/>
              </w:rPr>
            </w:pPr>
            <w:sdt>
              <w:sdtPr>
                <w:id w:val="20855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66" w:rsidRPr="00F03B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3B66" w:rsidRPr="00F03B66">
              <w:rPr>
                <w:b/>
              </w:rPr>
              <w:tab/>
            </w:r>
            <w:r w:rsidR="006118C4" w:rsidRPr="00F03B66">
              <w:rPr>
                <w:b/>
              </w:rPr>
              <w:t>Forschungszwecke</w:t>
            </w:r>
          </w:p>
        </w:tc>
        <w:tc>
          <w:tcPr>
            <w:tcW w:w="4599" w:type="dxa"/>
            <w:shd w:val="clear" w:color="auto" w:fill="auto"/>
          </w:tcPr>
          <w:p w:rsidR="00685EB2" w:rsidRPr="006118C4" w:rsidRDefault="006118C4" w:rsidP="003B7238">
            <w:r w:rsidRPr="006118C4">
              <w:t>Art. 9 Abs. 2 Buchst. j DS-GVO i.V.m. § 27 BDSG</w:t>
            </w:r>
          </w:p>
        </w:tc>
      </w:tr>
    </w:tbl>
    <w:p w:rsidR="00911A4A" w:rsidRPr="006118C4" w:rsidRDefault="00911A4A" w:rsidP="003B7238"/>
    <w:sectPr w:rsidR="00911A4A" w:rsidRPr="006118C4" w:rsidSect="00851663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B2"/>
    <w:rsid w:val="000F5F0C"/>
    <w:rsid w:val="003B7238"/>
    <w:rsid w:val="006118C4"/>
    <w:rsid w:val="00634B30"/>
    <w:rsid w:val="00685EB2"/>
    <w:rsid w:val="00851663"/>
    <w:rsid w:val="00904908"/>
    <w:rsid w:val="00911A4A"/>
    <w:rsid w:val="009322DB"/>
    <w:rsid w:val="00DC150B"/>
    <w:rsid w:val="00E17EBE"/>
    <w:rsid w:val="00F0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DE23"/>
  <w15:docId w15:val="{045FD21E-5876-41B7-9BB5-DB8631B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34B30"/>
    <w:pPr>
      <w:widowControl/>
    </w:pPr>
    <w:rPr>
      <w:rFonts w:ascii="Arial" w:eastAsia="Calibri" w:hAnsi="Arial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EB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"/>
      <w:ind w:left="118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7"/>
      <w:ind w:left="66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7EBE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F03B66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Hellenbroich, Sarah</cp:lastModifiedBy>
  <cp:revision>10</cp:revision>
  <dcterms:created xsi:type="dcterms:W3CDTF">2019-08-09T13:22:00Z</dcterms:created>
  <dcterms:modified xsi:type="dcterms:W3CDTF">2019-08-12T07:13:00Z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2019-08-09T00:00:00Z</vt:filetime>
  </property>
</Properties>
</file>