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78" w:rsidRPr="003876E3" w:rsidRDefault="006E3686" w:rsidP="00DA4971">
      <w:pPr>
        <w:pStyle w:val="berschrift1"/>
        <w:spacing w:before="0"/>
      </w:pPr>
      <w:bookmarkStart w:id="0" w:name="_GoBack"/>
      <w:bookmarkEnd w:id="0"/>
      <w:r w:rsidRPr="003876E3">
        <w:t>Praxisinterne Datenschutzrichtlinie – Verzeichnis der allgemeinen technisch-organisatorischen Maßnahmen</w:t>
      </w:r>
    </w:p>
    <w:p w:rsidR="00493478" w:rsidRPr="003876E3" w:rsidRDefault="006E3686" w:rsidP="00EB05EB">
      <w:r w:rsidRPr="003876E3">
        <w:t>Angaben zum Verantwortlichen: [von der Praxis auszufüllen]</w:t>
      </w:r>
    </w:p>
    <w:p w:rsidR="00493478" w:rsidRPr="003876E3" w:rsidRDefault="006E3686" w:rsidP="00EB05EB">
      <w:r w:rsidRPr="003876E3">
        <w:t>Name der Praxis, Straße, Hausnummer, Postleitzahl und Ort einfügen</w:t>
      </w:r>
    </w:p>
    <w:p w:rsidR="00493478" w:rsidRPr="003876E3" w:rsidRDefault="006E3686" w:rsidP="00EB05EB">
      <w:r w:rsidRPr="003876E3">
        <w:t>Telefon, E-Mail-Adresse, Praxisinhaber einfügen</w:t>
      </w:r>
    </w:p>
    <w:p w:rsidR="00493478" w:rsidRPr="003876E3" w:rsidRDefault="00493478" w:rsidP="00EB05EB"/>
    <w:p w:rsidR="00493478" w:rsidRPr="003876E3" w:rsidRDefault="006E3686" w:rsidP="00EB05EB">
      <w:r w:rsidRPr="003876E3">
        <w:t>Angaben zum Datenschutzbeauftragten (soweit bestellt)</w:t>
      </w:r>
    </w:p>
    <w:p w:rsidR="00493478" w:rsidRPr="003876E3" w:rsidRDefault="006E3686" w:rsidP="00EB05EB">
      <w:r w:rsidRPr="003876E3">
        <w:t>Name des/der Datenschutzbeauftragten, Telefon, E-Mail-Adresse,</w:t>
      </w:r>
    </w:p>
    <w:p w:rsidR="00493478" w:rsidRPr="003876E3" w:rsidRDefault="006E3686" w:rsidP="00EB05EB">
      <w:r w:rsidRPr="003876E3">
        <w:t>bei externem DSB zusätzlich Straße, Hausnummer, Postleitzahl und Ort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1. Rechtliche Rahmenbedingungen</w:t>
      </w:r>
    </w:p>
    <w:p w:rsidR="00493478" w:rsidRPr="003876E3" w:rsidRDefault="006E3686" w:rsidP="00EB05EB">
      <w:r w:rsidRPr="003876E3">
        <w:t xml:space="preserve">Die Praxis [xxx] ist eine </w:t>
      </w:r>
      <w:proofErr w:type="gramStart"/>
      <w:r w:rsidRPr="003876E3">
        <w:t>nicht-öffentliche</w:t>
      </w:r>
      <w:proofErr w:type="gramEnd"/>
      <w:r w:rsidRPr="003876E3">
        <w:t xml:space="preserve"> Stelle. Für diese gelten insbesondere die Anforderungen</w:t>
      </w:r>
      <w:r w:rsidR="0087014C" w:rsidRPr="003876E3">
        <w:t xml:space="preserve"> </w:t>
      </w:r>
      <w:r w:rsidRPr="003876E3">
        <w:t>der DS-GVO. Darüber hinaus gibt es bereichsspezifische Spezialgesetze, die gegenüber den Regelungen der DS-GVO vorrangig sind (z.B. Sozialgesetzbuch).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2. Zulässigkeit der Verarbeitung von personenbezogenen Daten in der Praxis</w:t>
      </w:r>
    </w:p>
    <w:p w:rsidR="00493478" w:rsidRPr="003876E3" w:rsidRDefault="006E3686" w:rsidP="00EB05EB">
      <w:r w:rsidRPr="003876E3">
        <w:t>Die Verarbeitung personenbezogener (bzw. -beziehbarer) Daten ist</w:t>
      </w:r>
      <w:r w:rsidR="0087014C" w:rsidRPr="003876E3">
        <w:t xml:space="preserve"> nur zulässig, wenn eine Rechts</w:t>
      </w:r>
      <w:r w:rsidRPr="003876E3">
        <w:t>vorschrift der DS-GVO dies erlaubt. Dieses kann auch die Einwilligung des Betroffenen, also des Patienten oder des Mitarbeiters in der Praxis, sein.</w:t>
      </w:r>
    </w:p>
    <w:p w:rsidR="00493478" w:rsidRPr="003876E3" w:rsidRDefault="006E3686" w:rsidP="00EB05EB">
      <w:r w:rsidRPr="003876E3">
        <w:t>Die Datenverarbeitung in der Praxis hat in der Regel ihre Rechtsgrundlage in Art. 9 DS-GVO i.V.m.</w:t>
      </w:r>
      <w:r w:rsidR="0087014C" w:rsidRPr="003876E3">
        <w:t xml:space="preserve"> </w:t>
      </w:r>
      <w:r w:rsidRPr="003876E3">
        <w:t>§ 22 Abs. 1 Nr. 1 Buchst. b BDSG. Weitere Rechtsgrundlagen in der vertragsärztlichen Praxis finden</w:t>
      </w:r>
      <w:r w:rsidR="0087014C" w:rsidRPr="003876E3">
        <w:t xml:space="preserve"> </w:t>
      </w:r>
      <w:r w:rsidRPr="003876E3">
        <w:t>sich in dem Sozialgesetzbuch V. Rechtsgrundlage für die Verarbeitung von Mitarbeiterdaten im Rahmen des Beschäftigtenverhältnisses ist in der Regel § 26 BDSG.</w:t>
      </w:r>
    </w:p>
    <w:p w:rsidR="00493478" w:rsidRPr="003876E3" w:rsidRDefault="006E3686" w:rsidP="00EB05EB">
      <w:r w:rsidRPr="003876E3">
        <w:t>Die Grundsätze der Erforderlichkeit und Zweckbindung der Verarbe</w:t>
      </w:r>
      <w:r w:rsidR="0087014C" w:rsidRPr="003876E3">
        <w:t>itung werden berücksichtigt, in</w:t>
      </w:r>
      <w:r w:rsidRPr="003876E3">
        <w:t>dem die personenbezogenen Daten ausschließlich zum Zweck der Aufgabenerfüllung, also der</w:t>
      </w:r>
      <w:r w:rsidR="0087014C" w:rsidRPr="003876E3">
        <w:t xml:space="preserve"> </w:t>
      </w:r>
      <w:r w:rsidRPr="003876E3">
        <w:t>Durchführung der erforderlichen Behandlungsmaßnahmen genutzt werden.</w:t>
      </w:r>
    </w:p>
    <w:p w:rsidR="00493478" w:rsidRPr="003876E3" w:rsidRDefault="006E3686" w:rsidP="00EB05EB">
      <w:r w:rsidRPr="003876E3">
        <w:t>Die Gestaltung und Auswahl der Datenverarbeitungsprogramme in der Praxis richten sich an dem</w:t>
      </w:r>
      <w:r w:rsidR="0087014C" w:rsidRPr="003876E3">
        <w:t xml:space="preserve"> </w:t>
      </w:r>
      <w:r w:rsidRPr="003876E3">
        <w:t>Ziel aus, keine oder so wenig personenbezogene Daten wie möglich zu erheben, zu verarbeiten oder</w:t>
      </w:r>
      <w:r w:rsidR="0087014C" w:rsidRPr="003876E3">
        <w:t xml:space="preserve"> </w:t>
      </w:r>
      <w:r w:rsidRPr="003876E3">
        <w:t xml:space="preserve">zu nutzen. Grundsätzlich wird von den Möglichkeiten der Anonymisierung und </w:t>
      </w:r>
      <w:proofErr w:type="spellStart"/>
      <w:r w:rsidRPr="003876E3">
        <w:t>Pseudonymisierung</w:t>
      </w:r>
      <w:proofErr w:type="spellEnd"/>
      <w:r w:rsidR="0087014C" w:rsidRPr="003876E3">
        <w:t xml:space="preserve"> </w:t>
      </w:r>
      <w:r w:rsidRPr="003876E3">
        <w:t>Gebrauch gemacht.</w:t>
      </w:r>
    </w:p>
    <w:p w:rsidR="00493478" w:rsidRPr="003876E3" w:rsidRDefault="006E3686" w:rsidP="00EB05EB">
      <w:r w:rsidRPr="003876E3">
        <w:t>Personenbezogene Daten, die ausschließlich zu Zwecken der Daten</w:t>
      </w:r>
      <w:r w:rsidR="0087014C" w:rsidRPr="003876E3">
        <w:t>schutzkontrolle, der Datensiche</w:t>
      </w:r>
      <w:r w:rsidRPr="003876E3">
        <w:t>rung oder zur Sicherstellung eines ordnungsgemäßen Betriebs ei</w:t>
      </w:r>
      <w:r w:rsidR="0087014C" w:rsidRPr="003876E3">
        <w:t>ner Datenverarbeitungsanlage ge</w:t>
      </w:r>
      <w:r w:rsidRPr="003876E3">
        <w:t>speichert werden, werden nur für diese Zwecke verwendet. Die Verar</w:t>
      </w:r>
      <w:r w:rsidR="0087014C" w:rsidRPr="003876E3">
        <w:t>beitung erfolgt nur für die vor</w:t>
      </w:r>
      <w:r w:rsidRPr="003876E3">
        <w:t>her festgelegten Zwecke.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3. Datengeheimnis, Verpflichtung auf den Datenschutz, Schulungen</w:t>
      </w:r>
    </w:p>
    <w:p w:rsidR="00493478" w:rsidRPr="003876E3" w:rsidRDefault="006E3686" w:rsidP="00EB05EB">
      <w:r w:rsidRPr="003876E3">
        <w:t>Den mit der Verarbeitung personenbezogener Daten beschäftigten P</w:t>
      </w:r>
      <w:r w:rsidR="00793246" w:rsidRPr="003876E3">
        <w:t>ersonen ist es untersagt, perso</w:t>
      </w:r>
      <w:r w:rsidRPr="003876E3">
        <w:t>nenbezogene Daten unbefugt zu erheben, zu verarbeiten oder zu nutzen. Alle Beschäftigten werden</w:t>
      </w:r>
      <w:r w:rsidR="00793246" w:rsidRPr="003876E3">
        <w:t xml:space="preserve"> </w:t>
      </w:r>
      <w:r w:rsidRPr="003876E3">
        <w:t>bei Aufnahme ihrer Tätigkeit auf das Datengeheimnis und das Berufsgeheimnis verpflichtet. Die</w:t>
      </w:r>
      <w:r w:rsidR="00793246" w:rsidRPr="003876E3">
        <w:t xml:space="preserve"> </w:t>
      </w:r>
      <w:r w:rsidRPr="003876E3">
        <w:t>Verpflichtung auf das Datengeheimnis und das Berufsgeheimnis schützen besonders die Persönlichkeitsrechte der Betroffenen. Gleichzeitig informieren diese die Mit</w:t>
      </w:r>
      <w:r w:rsidR="00793246" w:rsidRPr="003876E3">
        <w:t>arbeitenden über ihre Verpflich</w:t>
      </w:r>
      <w:r w:rsidRPr="003876E3">
        <w:t>tung, die Informationen und Daten – insbesondere diejenigen, aus denen sich ein Personenbezug</w:t>
      </w:r>
      <w:r w:rsidR="00793246" w:rsidRPr="003876E3">
        <w:t xml:space="preserve"> </w:t>
      </w:r>
      <w:r w:rsidRPr="003876E3">
        <w:t>ergibt – in verantwortlicher und berechtigter Weise zu schützen, zu benutzen und weiterzugeben.</w:t>
      </w:r>
      <w:r w:rsidR="00793246" w:rsidRPr="003876E3">
        <w:t xml:space="preserve"> </w:t>
      </w:r>
      <w:r w:rsidRPr="003876E3">
        <w:t>Die in der Praxis beschäftigten Personen werden durch den Ver</w:t>
      </w:r>
      <w:r w:rsidR="00793246" w:rsidRPr="003876E3">
        <w:t>antwortlichen regelmäßig im Hin</w:t>
      </w:r>
      <w:r w:rsidRPr="003876E3">
        <w:t>blick auf den Datenschutz geschult.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4. Technische und organisatorische Maßnahmen in der Praxis zum Schutze der Daten</w:t>
      </w:r>
    </w:p>
    <w:p w:rsidR="00493478" w:rsidRPr="003876E3" w:rsidRDefault="006E3686" w:rsidP="00EB05EB">
      <w:r w:rsidRPr="003876E3">
        <w:t>Zum Schutz der personenbezogenen Daten werden seitens der Praxis die notwendigen technischen</w:t>
      </w:r>
      <w:r w:rsidR="00793246" w:rsidRPr="003876E3">
        <w:t xml:space="preserve"> </w:t>
      </w:r>
      <w:r w:rsidRPr="003876E3">
        <w:t xml:space="preserve">und organisatorischen Maßnahmen getroffen, die erforderlich </w:t>
      </w:r>
      <w:r w:rsidR="00793246" w:rsidRPr="003876E3">
        <w:t>sind, um die Ausführung der Vor</w:t>
      </w:r>
      <w:r w:rsidRPr="003876E3">
        <w:t>schriften der DS-GVO zu gewährleisten. Dabei trifft die Praxis als Verantwortlicher die gemäß Art. 32</w:t>
      </w:r>
      <w:r w:rsidR="00793246" w:rsidRPr="003876E3">
        <w:t xml:space="preserve"> </w:t>
      </w:r>
      <w:r w:rsidRPr="003876E3">
        <w:t>DS-GVO erforderlichen technisch-organisatorischen Maßnahmen wie folgt: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 xml:space="preserve">4.1. </w:t>
      </w:r>
      <w:proofErr w:type="spellStart"/>
      <w:r w:rsidRPr="003876E3">
        <w:t>Pseudonymisierung</w:t>
      </w:r>
      <w:proofErr w:type="spellEnd"/>
    </w:p>
    <w:p w:rsidR="00493478" w:rsidRPr="003876E3" w:rsidRDefault="006E3686" w:rsidP="00EB05EB">
      <w:r w:rsidRPr="003876E3">
        <w:t>Beschreibung der Maßnahmen, die insbesondere zur Trennung v</w:t>
      </w:r>
      <w:r w:rsidR="0087014C" w:rsidRPr="003876E3">
        <w:t>on Patientendaten getroffen wur</w:t>
      </w:r>
      <w:r w:rsidRPr="003876E3">
        <w:t>den.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lastRenderedPageBreak/>
        <w:t>4.2. Verschlüsselung</w:t>
      </w:r>
    </w:p>
    <w:p w:rsidR="00493478" w:rsidRPr="003876E3" w:rsidRDefault="006E3686" w:rsidP="00EB05EB">
      <w:r w:rsidRPr="003876E3">
        <w:t>Beschreibung der Maßnahmen, in welchen Bereichen welche Verschlüsselung gewählt wird.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4.3. Vertraulichkeit</w:t>
      </w:r>
    </w:p>
    <w:p w:rsidR="00493478" w:rsidRPr="003876E3" w:rsidRDefault="006E3686" w:rsidP="00EB05EB">
      <w:r w:rsidRPr="003876E3">
        <w:t>Beschreibung der Maßnahmen, insbesondere aus den Bereichen der Zugangs- und Zugriffskontrolle,</w:t>
      </w:r>
      <w:r w:rsidR="00793246" w:rsidRPr="003876E3">
        <w:t xml:space="preserve"> </w:t>
      </w:r>
      <w:r w:rsidRPr="003876E3">
        <w:t>wie ein unautorisierter Zugang oder Zugriff auf personenbezogene Daten verhindert wird.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4.4. Integrität</w:t>
      </w:r>
    </w:p>
    <w:p w:rsidR="00493478" w:rsidRPr="003876E3" w:rsidRDefault="006E3686" w:rsidP="00EB05EB">
      <w:r w:rsidRPr="003876E3">
        <w:t>Beschreibung der Maßnahmen, wie die Integrität der Daten gewährleistet, also eine unbemerkte</w:t>
      </w:r>
      <w:r w:rsidR="00793246" w:rsidRPr="003876E3">
        <w:t xml:space="preserve"> </w:t>
      </w:r>
      <w:r w:rsidRPr="003876E3">
        <w:t>Änderung von personenbezogenen Daten verhindert wird, Beschreibung des Berechtigungs- und</w:t>
      </w:r>
      <w:r w:rsidR="00793246" w:rsidRPr="003876E3">
        <w:t xml:space="preserve"> </w:t>
      </w:r>
      <w:r w:rsidRPr="003876E3">
        <w:t>Zugriffskonzepts, der Eingabekontrolle und einer Protokollierung.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4.5. Verfügbarkeit</w:t>
      </w:r>
    </w:p>
    <w:p w:rsidR="00493478" w:rsidRPr="003876E3" w:rsidRDefault="006E3686" w:rsidP="00EB05EB">
      <w:r w:rsidRPr="003876E3">
        <w:t>Beschreibung der Maßnahmen, die sicherstellen, dass die personenbezogenen Daten dauernd und</w:t>
      </w:r>
      <w:r w:rsidR="00793246" w:rsidRPr="003876E3">
        <w:t xml:space="preserve"> </w:t>
      </w:r>
      <w:r w:rsidRPr="003876E3">
        <w:t>uneingeschränkt vorhanden sind, Verfügbarkeitskontrolle, Auftragskontrolle.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4.6. Belastbarkeit</w:t>
      </w:r>
    </w:p>
    <w:p w:rsidR="00493478" w:rsidRPr="003876E3" w:rsidRDefault="006E3686" w:rsidP="00EB05EB">
      <w:r w:rsidRPr="003876E3">
        <w:t>Beschreibung der Maßnahmen, die sicherstellen, dass die Systeme der</w:t>
      </w:r>
      <w:r w:rsidR="00793246" w:rsidRPr="003876E3">
        <w:t>art ausgelegt sind, dass sie je</w:t>
      </w:r>
      <w:r w:rsidRPr="003876E3">
        <w:t>derzeit leistungsfähig bleiben, Speicher-, Zugriffs-, Leitungskapazitäten.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4.7. Physischer oder technischer Zwischenfall</w:t>
      </w:r>
    </w:p>
    <w:p w:rsidR="00493478" w:rsidRPr="003876E3" w:rsidRDefault="006E3686" w:rsidP="00EB05EB">
      <w:r w:rsidRPr="003876E3">
        <w:t>Beschreibung der Maßnahmen, die eine rasche Wiederherstellungsmöglichkeit von Systemen und</w:t>
      </w:r>
      <w:r w:rsidR="00793246" w:rsidRPr="003876E3">
        <w:t xml:space="preserve"> </w:t>
      </w:r>
      <w:r w:rsidRPr="003876E3">
        <w:t>Datenbanken bei physischen oder technischen Zwischenfällen sich</w:t>
      </w:r>
      <w:r w:rsidR="00793246" w:rsidRPr="003876E3">
        <w:t>erstellen, Backup-Konzepte, Nut</w:t>
      </w:r>
      <w:r w:rsidRPr="003876E3">
        <w:t>zung von Cloud-Services.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4.8. Weitere zu ergreifende technische und organisatorische Maßnahmen und deren konkrete Umsetzung werden in gesonderten Dienstanweisungen festgelegt</w:t>
      </w:r>
    </w:p>
    <w:p w:rsidR="00493478" w:rsidRPr="003876E3" w:rsidRDefault="006E3686" w:rsidP="003876E3">
      <w:pPr>
        <w:pStyle w:val="Standardeinzug"/>
      </w:pPr>
      <w:r w:rsidRPr="003876E3">
        <w:t>•</w:t>
      </w:r>
      <w:r w:rsidR="00793246" w:rsidRPr="003876E3">
        <w:tab/>
      </w:r>
      <w:r w:rsidRPr="003876E3">
        <w:t>Dienstanweisung zur Erteilung von Auskünften an Patienten, Krankenkassen und Dritte</w:t>
      </w:r>
    </w:p>
    <w:p w:rsidR="00493478" w:rsidRPr="003876E3" w:rsidRDefault="006E3686" w:rsidP="003876E3">
      <w:pPr>
        <w:pStyle w:val="Standardeinzug"/>
      </w:pPr>
      <w:r w:rsidRPr="003876E3">
        <w:t>•</w:t>
      </w:r>
      <w:r w:rsidR="00793246" w:rsidRPr="003876E3">
        <w:tab/>
      </w:r>
      <w:r w:rsidRPr="003876E3">
        <w:t>Dienstanweisung zu Nutzung von PC, Telefon, E-Mail und Internet</w:t>
      </w:r>
    </w:p>
    <w:p w:rsidR="00493478" w:rsidRPr="003876E3" w:rsidRDefault="006E3686" w:rsidP="003876E3">
      <w:pPr>
        <w:pStyle w:val="Standardeinzug"/>
      </w:pPr>
      <w:r w:rsidRPr="003876E3">
        <w:t>•</w:t>
      </w:r>
      <w:r w:rsidR="00793246" w:rsidRPr="003876E3">
        <w:tab/>
      </w:r>
      <w:r w:rsidRPr="003876E3">
        <w:t>Dienstanweisung zur Vergabe von Passwörtern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5. Datenschutzfolgeabschätzung</w:t>
      </w:r>
    </w:p>
    <w:p w:rsidR="00493478" w:rsidRPr="003876E3" w:rsidRDefault="006E3686" w:rsidP="00EB05EB">
      <w:r w:rsidRPr="003876E3">
        <w:t>Hat eine Form der Verarbeitung, insbesondere bei Verwendung neuer Technologien, aufgrund der</w:t>
      </w:r>
      <w:r w:rsidR="00793246" w:rsidRPr="003876E3">
        <w:t xml:space="preserve"> </w:t>
      </w:r>
      <w:r w:rsidRPr="003876E3">
        <w:t>Art, des Umfangs, der Umstände und der Zwecke der Verarbeitung, voraussichtlich ein hohes Risiko</w:t>
      </w:r>
      <w:r w:rsidR="00793246" w:rsidRPr="003876E3">
        <w:t xml:space="preserve"> </w:t>
      </w:r>
      <w:r w:rsidRPr="003876E3">
        <w:t>für die Rechte und Freiheiten natürlicher Personen zur Folge, so führt die Praxis als Verantwortlicher</w:t>
      </w:r>
      <w:r w:rsidR="00793246" w:rsidRPr="003876E3">
        <w:t xml:space="preserve"> </w:t>
      </w:r>
      <w:r w:rsidRPr="003876E3">
        <w:t>vorab eine Abschätzung der Folgen der vorgesehenen Verarbeitun</w:t>
      </w:r>
      <w:r w:rsidR="00793246" w:rsidRPr="003876E3">
        <w:t>gsvorgänge für den Schutz perso</w:t>
      </w:r>
      <w:r w:rsidRPr="003876E3">
        <w:t>nenbezogener Daten durch und dokumentiert deren Ergebnis, Art. 35 DS-GVO.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6. Rechte der Betroffenen</w:t>
      </w:r>
    </w:p>
    <w:p w:rsidR="00493478" w:rsidRPr="003876E3" w:rsidRDefault="006E3686" w:rsidP="00EB05EB">
      <w:r w:rsidRPr="003876E3">
        <w:t>Die folgenden Rechte, die die Betroffenen nach der DS-GVO haben</w:t>
      </w:r>
      <w:r w:rsidR="00793246" w:rsidRPr="003876E3">
        <w:t>, werden durch die Praxis einge</w:t>
      </w:r>
      <w:r w:rsidRPr="003876E3">
        <w:t>halten:</w:t>
      </w:r>
    </w:p>
    <w:p w:rsidR="00493478" w:rsidRPr="003876E3" w:rsidRDefault="006E3686" w:rsidP="003876E3">
      <w:pPr>
        <w:pStyle w:val="Standardeinzug"/>
      </w:pPr>
      <w:r w:rsidRPr="003876E3">
        <w:t>•</w:t>
      </w:r>
      <w:r w:rsidR="00793246" w:rsidRPr="003876E3">
        <w:tab/>
      </w:r>
      <w:r w:rsidRPr="003876E3">
        <w:t>Auskunft, Berichtigung, Löschung, Einschränkung der Verarbeitung</w:t>
      </w:r>
    </w:p>
    <w:p w:rsidR="00493478" w:rsidRPr="003876E3" w:rsidRDefault="00793246" w:rsidP="003876E3">
      <w:pPr>
        <w:pStyle w:val="Standardeinzug"/>
      </w:pPr>
      <w:r w:rsidRPr="003876E3">
        <w:t>•</w:t>
      </w:r>
      <w:r w:rsidRPr="003876E3">
        <w:tab/>
      </w:r>
      <w:r w:rsidR="006E3686" w:rsidRPr="003876E3">
        <w:t>Widerspruch sowie Datenübertragbarkeit, Art. 15–22 DS-GVO</w:t>
      </w:r>
    </w:p>
    <w:p w:rsidR="00493478" w:rsidRPr="003876E3" w:rsidRDefault="00793246" w:rsidP="003876E3">
      <w:pPr>
        <w:pStyle w:val="Standardeinzug"/>
      </w:pPr>
      <w:r w:rsidRPr="003876E3">
        <w:t>•</w:t>
      </w:r>
      <w:r w:rsidRPr="003876E3">
        <w:tab/>
      </w:r>
      <w:r w:rsidR="006E3686" w:rsidRPr="003876E3">
        <w:t>Recht zum Widerruf, Art. 7 DS-GVO</w:t>
      </w:r>
    </w:p>
    <w:p w:rsidR="00493478" w:rsidRPr="003876E3" w:rsidRDefault="00793246" w:rsidP="003876E3">
      <w:pPr>
        <w:pStyle w:val="Standardeinzug"/>
      </w:pPr>
      <w:r w:rsidRPr="003876E3">
        <w:t>•</w:t>
      </w:r>
      <w:r w:rsidRPr="003876E3">
        <w:tab/>
      </w:r>
      <w:r w:rsidR="006E3686" w:rsidRPr="003876E3">
        <w:t>Daneben hat der Betroffene auch das Recht, sich bei der zuständigen Aufsichtsbehörde zu beschweren, Art. 77 DS-GVO</w:t>
      </w:r>
    </w:p>
    <w:p w:rsidR="00493478" w:rsidRPr="003876E3" w:rsidRDefault="00493478" w:rsidP="00EB05EB"/>
    <w:p w:rsidR="00493478" w:rsidRPr="003876E3" w:rsidRDefault="006E3686" w:rsidP="003876E3">
      <w:pPr>
        <w:pStyle w:val="berschrift3"/>
      </w:pPr>
      <w:r w:rsidRPr="003876E3">
        <w:t>7. Verzeichnis der Verarbeitungstätigkeiten</w:t>
      </w:r>
    </w:p>
    <w:p w:rsidR="00493478" w:rsidRPr="003876E3" w:rsidRDefault="006E3686" w:rsidP="00EB05EB">
      <w:r w:rsidRPr="003876E3">
        <w:t>Die DS-GVO verlangt gemäß Art. 30, dass der Verantwortliche ein Ve</w:t>
      </w:r>
      <w:r w:rsidR="00793246" w:rsidRPr="003876E3">
        <w:t>rzeichnis aller Verarbeitungstä</w:t>
      </w:r>
      <w:r w:rsidRPr="003876E3">
        <w:t>tigkeiten führen muss, das die eingesetzten Verfahren erfasst, mit denen personenbezogene Daten</w:t>
      </w:r>
      <w:r w:rsidR="00793246" w:rsidRPr="003876E3">
        <w:t xml:space="preserve"> </w:t>
      </w:r>
      <w:r w:rsidRPr="003876E3">
        <w:t>verarbeitet werden. Dieser Anforderung ist die Praxis mit ihrem Ve</w:t>
      </w:r>
      <w:r w:rsidR="00793246" w:rsidRPr="003876E3">
        <w:t>rzeichnis aller Verarbeitungstä</w:t>
      </w:r>
      <w:r w:rsidRPr="003876E3">
        <w:t>tigkeiten nachgekommen. Dieses Verzeichnis wird intern in regelmäßigen Abständen überprüft.</w:t>
      </w:r>
    </w:p>
    <w:p w:rsidR="00493478" w:rsidRDefault="00493478" w:rsidP="00EB05EB"/>
    <w:p w:rsidR="003876E3" w:rsidRPr="003876E3" w:rsidRDefault="003876E3" w:rsidP="00EB05EB"/>
    <w:p w:rsidR="00493478" w:rsidRPr="003876E3" w:rsidRDefault="006E3686" w:rsidP="00EB05EB">
      <w:r w:rsidRPr="003876E3">
        <w:t>Stand [von der Praxis auszufüllen]</w:t>
      </w:r>
    </w:p>
    <w:sectPr w:rsidR="00493478" w:rsidRPr="003876E3" w:rsidSect="00DA4971">
      <w:pgSz w:w="11907" w:h="16840" w:code="9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78"/>
    <w:rsid w:val="00031FE3"/>
    <w:rsid w:val="003876E3"/>
    <w:rsid w:val="00493478"/>
    <w:rsid w:val="00586684"/>
    <w:rsid w:val="005E4692"/>
    <w:rsid w:val="006E3686"/>
    <w:rsid w:val="00793246"/>
    <w:rsid w:val="0087014C"/>
    <w:rsid w:val="00C546A6"/>
    <w:rsid w:val="00DA4971"/>
    <w:rsid w:val="00E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D887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5EB"/>
    <w:pPr>
      <w:widowControl/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05EB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76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876E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32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B05EB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76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876E3"/>
    <w:rPr>
      <w:rFonts w:ascii="Arial" w:eastAsiaTheme="majorEastAsia" w:hAnsi="Arial" w:cstheme="majorBidi"/>
      <w:b/>
      <w:szCs w:val="24"/>
      <w:lang w:val="de-DE"/>
    </w:rPr>
  </w:style>
  <w:style w:type="paragraph" w:styleId="Standardeinzug">
    <w:name w:val="Normal Indent"/>
    <w:basedOn w:val="Standard"/>
    <w:uiPriority w:val="99"/>
    <w:unhideWhenUsed/>
    <w:rsid w:val="003876E3"/>
    <w:pPr>
      <w:ind w:left="567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in der ärztlichen Praxis</vt:lpstr>
    </vt:vector>
  </TitlesOfParts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10</cp:revision>
  <dcterms:created xsi:type="dcterms:W3CDTF">2019-08-09T12:29:00Z</dcterms:created>
  <dcterms:modified xsi:type="dcterms:W3CDTF">2019-08-09T12:37:00Z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