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12E" w:rsidRPr="00401D48" w:rsidRDefault="00DC0597" w:rsidP="000F0249">
      <w:pPr>
        <w:pStyle w:val="berschrift1"/>
        <w:rPr>
          <w:rFonts w:eastAsia="TheSans"/>
        </w:rPr>
      </w:pPr>
      <w:r w:rsidRPr="00401D48">
        <w:rPr>
          <w:rFonts w:eastAsia="TheSans"/>
        </w:rPr>
        <w:t>Verpflichtung zur Vertraulichkeit und zur Wahrung datenschutzrechtlicher</w:t>
      </w:r>
      <w:r w:rsidR="00A0539B" w:rsidRPr="00401D48">
        <w:rPr>
          <w:rFonts w:eastAsia="TheSans"/>
        </w:rPr>
        <w:t xml:space="preserve"> </w:t>
      </w:r>
      <w:r w:rsidRPr="00401D48">
        <w:rPr>
          <w:rFonts w:eastAsia="TheSans"/>
          <w:position w:val="1"/>
        </w:rPr>
        <w:t>Bestimmungen nach der DS-GVO</w:t>
      </w:r>
    </w:p>
    <w:p w:rsidR="00C0712E" w:rsidRPr="00E7166B" w:rsidRDefault="00C0712E" w:rsidP="00E7166B"/>
    <w:p w:rsidR="00222363" w:rsidRPr="00E7166B" w:rsidRDefault="00222363" w:rsidP="00E7166B"/>
    <w:p w:rsidR="00C0712E" w:rsidRPr="00E7166B" w:rsidRDefault="00DC0597" w:rsidP="00E7166B">
      <w:r w:rsidRPr="00E7166B">
        <w:t>Von</w:t>
      </w:r>
    </w:p>
    <w:p w:rsidR="00C0712E" w:rsidRPr="00E7166B" w:rsidRDefault="00C0712E" w:rsidP="00E7166B"/>
    <w:p w:rsidR="00C0712E" w:rsidRPr="00E7166B" w:rsidRDefault="00C0712E" w:rsidP="00E7166B"/>
    <w:p w:rsidR="00C0712E" w:rsidRPr="00C31A96" w:rsidRDefault="00DC0597" w:rsidP="00E7166B">
      <w:pPr>
        <w:rPr>
          <w:b/>
        </w:rPr>
      </w:pPr>
      <w:r w:rsidRPr="00C31A96">
        <w:rPr>
          <w:b/>
        </w:rPr>
        <w:t>Herrn/Frau</w:t>
      </w:r>
    </w:p>
    <w:p w:rsidR="00C31A96" w:rsidRPr="00C31A96" w:rsidRDefault="00C31A96" w:rsidP="00E7166B">
      <w:pPr>
        <w:rPr>
          <w:b/>
        </w:rPr>
      </w:pPr>
    </w:p>
    <w:p w:rsidR="00C31A96" w:rsidRPr="00C31A96" w:rsidRDefault="00C31A96" w:rsidP="00E7166B">
      <w:pPr>
        <w:rPr>
          <w:b/>
        </w:rPr>
      </w:pPr>
    </w:p>
    <w:p w:rsidR="00C0712E" w:rsidRPr="00C31A96" w:rsidRDefault="00C31A96" w:rsidP="00E7166B">
      <w:pPr>
        <w:rPr>
          <w:b/>
        </w:rPr>
      </w:pPr>
      <w:r w:rsidRPr="00C31A96">
        <w:rPr>
          <w:b/>
        </w:rPr>
        <w:t>________________________________________________________________________</w:t>
      </w:r>
    </w:p>
    <w:p w:rsidR="00C0712E" w:rsidRPr="00C31A96" w:rsidRDefault="00DC0597" w:rsidP="00E7166B">
      <w:pPr>
        <w:rPr>
          <w:b/>
        </w:rPr>
      </w:pPr>
      <w:r w:rsidRPr="00C31A96">
        <w:rPr>
          <w:b/>
        </w:rPr>
        <w:t>(Verpflichteter)</w:t>
      </w:r>
    </w:p>
    <w:p w:rsidR="00C0712E" w:rsidRPr="00E7166B" w:rsidRDefault="00C0712E" w:rsidP="00E7166B"/>
    <w:p w:rsidR="00C0712E" w:rsidRPr="00E7166B" w:rsidRDefault="00C0712E" w:rsidP="00E7166B"/>
    <w:p w:rsidR="00C0712E" w:rsidRPr="00E7166B" w:rsidRDefault="00DC0597" w:rsidP="00E7166B">
      <w:r w:rsidRPr="00E7166B">
        <w:t>gegenüber</w:t>
      </w:r>
    </w:p>
    <w:p w:rsidR="00C0712E" w:rsidRPr="00E7166B" w:rsidRDefault="00C0712E" w:rsidP="00E7166B"/>
    <w:p w:rsidR="00C0712E" w:rsidRPr="00E7166B" w:rsidRDefault="00C0712E" w:rsidP="00E7166B"/>
    <w:p w:rsidR="00C0712E" w:rsidRPr="00C31A96" w:rsidRDefault="00DC0597" w:rsidP="00E7166B">
      <w:pPr>
        <w:rPr>
          <w:b/>
        </w:rPr>
      </w:pPr>
      <w:r w:rsidRPr="00C31A96">
        <w:rPr>
          <w:b/>
        </w:rPr>
        <w:t>Arztpraxis</w:t>
      </w:r>
    </w:p>
    <w:p w:rsidR="00C0712E" w:rsidRPr="00C31A96" w:rsidRDefault="00C0712E" w:rsidP="00E7166B">
      <w:pPr>
        <w:rPr>
          <w:b/>
        </w:rPr>
      </w:pPr>
    </w:p>
    <w:p w:rsidR="00C31A96" w:rsidRPr="00C31A96" w:rsidRDefault="00C31A96" w:rsidP="00E7166B">
      <w:pPr>
        <w:rPr>
          <w:b/>
        </w:rPr>
      </w:pPr>
    </w:p>
    <w:p w:rsidR="00C31A96" w:rsidRPr="00C31A96" w:rsidRDefault="00C31A96" w:rsidP="00C31A96">
      <w:pPr>
        <w:rPr>
          <w:b/>
        </w:rPr>
      </w:pPr>
      <w:r w:rsidRPr="00C31A96">
        <w:rPr>
          <w:b/>
        </w:rPr>
        <w:t>________________________________________________________________________</w:t>
      </w:r>
    </w:p>
    <w:p w:rsidR="00C0712E" w:rsidRPr="00C31A96" w:rsidRDefault="00DC0597" w:rsidP="00E7166B">
      <w:pPr>
        <w:rPr>
          <w:b/>
        </w:rPr>
      </w:pPr>
      <w:r w:rsidRPr="00C31A96">
        <w:rPr>
          <w:b/>
        </w:rPr>
        <w:t>(Verantwortlicher)</w:t>
      </w:r>
    </w:p>
    <w:p w:rsidR="00C0712E" w:rsidRPr="00E7166B" w:rsidRDefault="00C0712E" w:rsidP="00E7166B"/>
    <w:p w:rsidR="00222363" w:rsidRPr="00E7166B" w:rsidRDefault="00222363" w:rsidP="00E7166B"/>
    <w:p w:rsidR="00C0712E" w:rsidRPr="00E7166B" w:rsidRDefault="00DC0597" w:rsidP="00E7166B">
      <w:r w:rsidRPr="00E7166B">
        <w:t>Der Verpflichtete erklärt, sämtliche Informationen, welche ihm in Ausübung oder bei Gelegenheit seiner beruflichen Tätigkeit für den Verantwortlichen anvertraut oder bekannt werden, vertraulich zu behandeln und hierüber gegenüber Dritten Stillschweigen zu wahren. Personenbezogene Daten dürfen nur verarbeitet werden, wenn eine Einwilligung vorliegt oder eine gesetzliche Regelung die Verarbeitung erlaubt oder vorschreibt. Die nachfolgenden, in Art. 5 Abs. 1 DS-GVO enthaltenen Grundsätze sind bei der Verarbeitung personenbezogener Daten du</w:t>
      </w:r>
      <w:r w:rsidR="00222363" w:rsidRPr="00E7166B">
        <w:t>rch den Verpflichteten einzuhal</w:t>
      </w:r>
      <w:r w:rsidRPr="00E7166B">
        <w:t>ten:</w:t>
      </w:r>
    </w:p>
    <w:p w:rsidR="00C0712E" w:rsidRPr="00E7166B" w:rsidRDefault="00C0712E" w:rsidP="00E7166B"/>
    <w:p w:rsidR="00C0712E" w:rsidRPr="00E7166B" w:rsidRDefault="00DC0597" w:rsidP="00E7166B">
      <w:r w:rsidRPr="00E7166B">
        <w:t>Personenbezogene Daten müssen</w:t>
      </w:r>
    </w:p>
    <w:p w:rsidR="00C0712E" w:rsidRPr="00E7166B" w:rsidRDefault="00C0712E" w:rsidP="00E7166B"/>
    <w:p w:rsidR="00C0712E" w:rsidRPr="00E7166B" w:rsidRDefault="00DC0597" w:rsidP="00E7166B">
      <w:pPr>
        <w:pStyle w:val="Standardeinzug"/>
      </w:pPr>
      <w:r w:rsidRPr="00E7166B">
        <w:t>a)</w:t>
      </w:r>
      <w:r w:rsidR="00E7166B">
        <w:tab/>
      </w:r>
      <w:r w:rsidRPr="00E7166B">
        <w:t xml:space="preserve">auf rechtmäßige Weise, nach Treu und Glauben und in einer für </w:t>
      </w:r>
      <w:r w:rsidR="00222363" w:rsidRPr="00E7166B">
        <w:t>die betroffene Person nachvoll</w:t>
      </w:r>
      <w:r w:rsidRPr="00E7166B">
        <w:t>ziehbaren Weise verarbeitet werden („Rechtmäßigkeit, Verarbeitung nach Treu und Glauben, Transparenz“);</w:t>
      </w:r>
    </w:p>
    <w:p w:rsidR="00C0712E" w:rsidRPr="00E7166B" w:rsidRDefault="00C0712E" w:rsidP="00E7166B"/>
    <w:p w:rsidR="00C0712E" w:rsidRPr="00E7166B" w:rsidRDefault="00E7166B" w:rsidP="00E7166B">
      <w:pPr>
        <w:pStyle w:val="Standardeinzug"/>
      </w:pPr>
      <w:r>
        <w:t>b)</w:t>
      </w:r>
      <w:r>
        <w:tab/>
      </w:r>
      <w:r w:rsidR="00DC0597" w:rsidRPr="00E7166B">
        <w:t>für festgelegte, eindeutige und legitime Zwecke erhoben werden und dürfen nicht in einer mit diesen Zwecken nicht zu vereinbarenden Weise weiterverarbeit</w:t>
      </w:r>
      <w:r w:rsidR="00222363" w:rsidRPr="00E7166B">
        <w:t>et werden; eine Weiterverarbei</w:t>
      </w:r>
      <w:r w:rsidR="00DC0597" w:rsidRPr="00E7166B">
        <w:t>tung für im öffentlichen Interesse liegende Archivzwecke, für wissenschaftliche oder historische Forschungszwecke oder für statistische Zwecke gilt gemäß Art. 89 Abs. 1 nicht als unvereinbar mit den ursprünglichen Zwecken („Zweckbindung“);</w:t>
      </w:r>
    </w:p>
    <w:p w:rsidR="00C0712E" w:rsidRPr="00E7166B" w:rsidRDefault="00C0712E" w:rsidP="00E7166B">
      <w:pPr>
        <w:pStyle w:val="Standardeinzug"/>
      </w:pPr>
    </w:p>
    <w:p w:rsidR="00C0712E" w:rsidRPr="00E7166B" w:rsidRDefault="00DC0597" w:rsidP="00E7166B">
      <w:pPr>
        <w:pStyle w:val="Standardeinzug"/>
      </w:pPr>
      <w:r w:rsidRPr="00E7166B">
        <w:t>c)</w:t>
      </w:r>
      <w:r w:rsidR="00E7166B">
        <w:tab/>
      </w:r>
      <w:r w:rsidRPr="00E7166B">
        <w:t>dem Zweck angemessen und erheblich sowie auf das für die Zwecke der Verarbeitung notwendige Maß beschränkt sein („Datenminimierung“);</w:t>
      </w:r>
    </w:p>
    <w:p w:rsidR="00C0712E" w:rsidRPr="00E7166B" w:rsidRDefault="00C0712E" w:rsidP="00E7166B">
      <w:pPr>
        <w:pStyle w:val="Standardeinzug"/>
      </w:pPr>
    </w:p>
    <w:p w:rsidR="00C0712E" w:rsidRPr="00E7166B" w:rsidRDefault="00DC0597" w:rsidP="00E7166B">
      <w:pPr>
        <w:pStyle w:val="Standardeinzug"/>
      </w:pPr>
      <w:r w:rsidRPr="00E7166B">
        <w:t>d)</w:t>
      </w:r>
      <w:r w:rsidR="00E7166B">
        <w:tab/>
      </w:r>
      <w:r w:rsidRPr="00E7166B">
        <w:t>sachlich richtig und erforderlichenfalls auf dem neuesten Stand sein; es sind alle angemessenen Maßnahmen zu treffen, damit personenbezogene Daten, die im Hinblick auf die Zwecke ihrer Verarbeitung unrichtig sind, unverzüglich gelöscht oder berichtigt werden („Richtigkeit“);</w:t>
      </w:r>
    </w:p>
    <w:p w:rsidR="00C0712E" w:rsidRPr="00E7166B" w:rsidRDefault="00C0712E" w:rsidP="00E7166B">
      <w:pPr>
        <w:pStyle w:val="Standardeinzug"/>
      </w:pPr>
    </w:p>
    <w:p w:rsidR="00C0712E" w:rsidRPr="00E7166B" w:rsidRDefault="00DC0597" w:rsidP="00E7166B">
      <w:pPr>
        <w:pStyle w:val="Standardeinzug"/>
      </w:pPr>
      <w:r w:rsidRPr="00E7166B">
        <w:lastRenderedPageBreak/>
        <w:t>e)</w:t>
      </w:r>
      <w:r w:rsidR="00E7166B">
        <w:tab/>
      </w:r>
      <w:r w:rsidRPr="00E7166B">
        <w:t>in einer Form gespeichert werden, die die Identifizierung der betroffenen Personen nur so lange ermöglicht, wie es für die Zwecke, für die sie verarbeitet werden, erforderlich ist; personenbezogene Daten dürfen länger gespeichert werden, soweit die personenbezogenen Daten vorbehaltlich der Durchführung geeigneter technischer und organisatorischer Maßnahmen, die von dieser Verordnung zum Schutz der Rechte und Freiheiten der betroffenen Person gefordert werden, ausschließlich für im öffentlichen Interesse liegende Archivzwecke oder für wissenschaftliche und historische Forschungszwecke oder für statistische Zwecke gemäß Art. 89 Abs. 1 verarbeitet werden („Speicherbegrenzung“);</w:t>
      </w:r>
    </w:p>
    <w:p w:rsidR="00E7166B" w:rsidRDefault="00E7166B" w:rsidP="00E7166B">
      <w:pPr>
        <w:pStyle w:val="Standardeinzug"/>
      </w:pPr>
    </w:p>
    <w:p w:rsidR="00C0712E" w:rsidRPr="00401D48" w:rsidRDefault="00DC0597" w:rsidP="00E7166B">
      <w:pPr>
        <w:pStyle w:val="Standardeinzug"/>
        <w:rPr>
          <w:rFonts w:eastAsia="TheSans-LP5Plain" w:cs="Arial"/>
          <w:sz w:val="17"/>
          <w:szCs w:val="17"/>
        </w:rPr>
      </w:pPr>
      <w:r w:rsidRPr="00E7166B">
        <w:t>f)</w:t>
      </w:r>
      <w:r w:rsidR="00E7166B">
        <w:tab/>
      </w:r>
      <w:r w:rsidRPr="00E7166B">
        <w:t>in einer Weise verarbeitet werden, die eine angemessene Sich</w:t>
      </w:r>
      <w:r w:rsidR="00222363" w:rsidRPr="00E7166B">
        <w:t>erheit der personenbezogenen Da</w:t>
      </w:r>
      <w:r w:rsidRPr="00E7166B">
        <w:t>ten gewährleistet, einschließlich Schutz vor unbefugter oder unrechtmäßiger Verarbeitung und vor unbeabsichtigtem Verlust, unbeabsichtigter Zerstörung oder unbeabsichtigter Schädigung durch geeignete technische und organisatorische Maßnahmen („Integrität und Vertra</w:t>
      </w:r>
      <w:r w:rsidRPr="00401D48">
        <w:rPr>
          <w:rFonts w:eastAsia="TheSans-LP5Plain" w:cs="Arial"/>
          <w:color w:val="231F20"/>
          <w:sz w:val="17"/>
          <w:szCs w:val="17"/>
        </w:rPr>
        <w:t>ulichkeit“).</w:t>
      </w:r>
    </w:p>
    <w:p w:rsidR="00222363" w:rsidRPr="00401D48" w:rsidRDefault="00222363" w:rsidP="00222363">
      <w:pPr>
        <w:spacing w:line="198" w:lineRule="exact"/>
        <w:ind w:left="112" w:right="-20"/>
        <w:rPr>
          <w:rFonts w:eastAsia="TheSans-LP5Plain" w:cs="Arial"/>
          <w:color w:val="231F20"/>
          <w:sz w:val="17"/>
          <w:szCs w:val="17"/>
        </w:rPr>
      </w:pPr>
    </w:p>
    <w:p w:rsidR="00C0712E" w:rsidRPr="00E7166B" w:rsidRDefault="00DC0597" w:rsidP="00E7166B">
      <w:r w:rsidRPr="00E7166B">
        <w:t xml:space="preserve">Personenbezogene Daten dürfen nur nach Weisung des Verantwortlichen verarbeitet werden. Verstöße gegen diese Verpflichtung können sowohl zivil- </w:t>
      </w:r>
      <w:r w:rsidR="00222363" w:rsidRPr="00E7166B">
        <w:t>als auch strafrechtliche Folgen a</w:t>
      </w:r>
      <w:r w:rsidRPr="00E7166B">
        <w:t>uslösen,</w:t>
      </w:r>
      <w:r w:rsidR="00E7166B">
        <w:t xml:space="preserve"> </w:t>
      </w:r>
      <w:r w:rsidRPr="00E7166B">
        <w:t>Datenschutzverstöße können nach §§ 42, 43 BDSG n.F. mit Bußgeld</w:t>
      </w:r>
      <w:r w:rsidR="00E7166B">
        <w:t xml:space="preserve"> sowie mit Geld- oder Freiheits</w:t>
      </w:r>
      <w:r w:rsidRPr="00E7166B">
        <w:t>strafe geahndet werden. Auch (zivilrechtliche) Schadenersatzansprüche können aus schuldhaften</w:t>
      </w:r>
      <w:r w:rsidR="00E7166B">
        <w:t xml:space="preserve"> </w:t>
      </w:r>
      <w:r w:rsidRPr="00E7166B">
        <w:t>Verstößen gegen diese Verpflichtungserklärung hergeleitet werden.</w:t>
      </w:r>
    </w:p>
    <w:p w:rsidR="00C0712E" w:rsidRPr="00E7166B" w:rsidRDefault="00C0712E" w:rsidP="00E7166B"/>
    <w:p w:rsidR="00C0712E" w:rsidRPr="00E7166B" w:rsidRDefault="00DC0597" w:rsidP="00E7166B">
      <w:r w:rsidRPr="00E7166B">
        <w:t>Die Verpflichtung zur Vertraulichkeit gilt nach Beendigung des Arbeitsverhältnisses fort.</w:t>
      </w:r>
    </w:p>
    <w:p w:rsidR="00C0712E" w:rsidRPr="00E7166B" w:rsidRDefault="00C0712E" w:rsidP="00E7166B"/>
    <w:p w:rsidR="00C0712E" w:rsidRPr="00E7166B" w:rsidRDefault="00C0712E" w:rsidP="00E7166B"/>
    <w:p w:rsidR="00C0712E" w:rsidRPr="00E7166B" w:rsidRDefault="00C0712E" w:rsidP="00E7166B"/>
    <w:p w:rsidR="00E00D27" w:rsidRDefault="00E00D27" w:rsidP="00E7166B"/>
    <w:p w:rsidR="00E7166B" w:rsidRPr="00E7166B" w:rsidRDefault="00345497" w:rsidP="00E7166B">
      <w:r>
        <w:t>_________</w:t>
      </w:r>
      <w:r w:rsidR="00E7166B">
        <w:t>___</w:t>
      </w:r>
      <w:r w:rsidR="00E7166B">
        <w:tab/>
      </w:r>
      <w:r w:rsidR="00E7166B">
        <w:tab/>
      </w:r>
      <w:r w:rsidR="00E00D27">
        <w:t xml:space="preserve">   </w:t>
      </w:r>
      <w:r w:rsidR="00E00D27">
        <w:tab/>
      </w:r>
      <w:r w:rsidR="00E00D27">
        <w:tab/>
      </w:r>
      <w:r w:rsidR="00E7166B">
        <w:t>____________________</w:t>
      </w:r>
      <w:r w:rsidR="00E7166B">
        <w:tab/>
      </w:r>
      <w:r w:rsidR="00E7166B">
        <w:tab/>
        <w:t>_________________</w:t>
      </w:r>
      <w:r w:rsidR="00E00D27">
        <w:t>___</w:t>
      </w:r>
      <w:bookmarkStart w:id="0" w:name="_GoBack"/>
      <w:bookmarkEnd w:id="0"/>
      <w:r w:rsidR="00E7166B">
        <w:t>__</w:t>
      </w:r>
    </w:p>
    <w:p w:rsidR="00C0712E" w:rsidRPr="00E7166B" w:rsidRDefault="00DC0597" w:rsidP="00E7166B">
      <w:r w:rsidRPr="00E7166B">
        <w:t>Ort, Datum</w:t>
      </w:r>
      <w:r w:rsidRPr="00E7166B">
        <w:tab/>
      </w:r>
      <w:r w:rsidR="00E7166B">
        <w:tab/>
      </w:r>
      <w:r w:rsidR="00E7166B">
        <w:tab/>
      </w:r>
      <w:r w:rsidR="00E7166B">
        <w:tab/>
      </w:r>
      <w:r w:rsidR="00E7166B">
        <w:tab/>
      </w:r>
      <w:r w:rsidRPr="00E7166B">
        <w:t>Unterschrift Verpflichteter</w:t>
      </w:r>
      <w:r w:rsidRPr="00E7166B">
        <w:tab/>
      </w:r>
      <w:r w:rsidR="00E7166B">
        <w:tab/>
      </w:r>
      <w:r w:rsidRPr="00E7166B">
        <w:t>Unterschrift Verantwortlicher</w:t>
      </w:r>
    </w:p>
    <w:sectPr w:rsidR="00C0712E" w:rsidRPr="00E7166B" w:rsidSect="00FF267E">
      <w:type w:val="continuous"/>
      <w:pgSz w:w="11907" w:h="16840"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heSans">
    <w:altName w:val="Segoe UI"/>
    <w:panose1 w:val="00000000000000000000"/>
    <w:charset w:val="00"/>
    <w:family w:val="swiss"/>
    <w:notTrueType/>
    <w:pitch w:val="variable"/>
    <w:sig w:usb0="00000001" w:usb1="500060FB" w:usb2="00000000" w:usb3="00000000" w:csb0="0000009F" w:csb1="00000000"/>
  </w:font>
  <w:font w:name="TheSans-LP5Plain">
    <w:altName w:val="Segoe UI"/>
    <w:panose1 w:val="00000000000000000000"/>
    <w:charset w:val="00"/>
    <w:family w:val="swiss"/>
    <w:notTrueType/>
    <w:pitch w:val="variable"/>
    <w:sig w:usb0="00000001" w:usb1="500060F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C0712E"/>
    <w:rsid w:val="000F0249"/>
    <w:rsid w:val="00222363"/>
    <w:rsid w:val="00345497"/>
    <w:rsid w:val="00401D48"/>
    <w:rsid w:val="00506E26"/>
    <w:rsid w:val="00A0539B"/>
    <w:rsid w:val="00C0712E"/>
    <w:rsid w:val="00C31A96"/>
    <w:rsid w:val="00DC0597"/>
    <w:rsid w:val="00DC69EF"/>
    <w:rsid w:val="00E00D27"/>
    <w:rsid w:val="00E7166B"/>
    <w:rsid w:val="00FC3AF2"/>
    <w:rsid w:val="00FF26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13D2"/>
  <w15:docId w15:val="{99D630FE-2F87-8C4C-AE30-5DDB1D0D0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69EF"/>
    <w:pPr>
      <w:widowControl/>
      <w:spacing w:after="0" w:line="240" w:lineRule="auto"/>
    </w:pPr>
    <w:rPr>
      <w:rFonts w:ascii="Arial" w:hAnsi="Arial"/>
      <w:lang w:val="de-DE"/>
    </w:rPr>
  </w:style>
  <w:style w:type="paragraph" w:styleId="berschrift1">
    <w:name w:val="heading 1"/>
    <w:basedOn w:val="Standard"/>
    <w:next w:val="Standard"/>
    <w:link w:val="berschrift1Zchn"/>
    <w:uiPriority w:val="9"/>
    <w:qFormat/>
    <w:rsid w:val="000F0249"/>
    <w:pPr>
      <w:keepNext/>
      <w:keepLines/>
      <w:spacing w:before="240" w:after="24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F0249"/>
    <w:rPr>
      <w:rFonts w:ascii="Arial" w:eastAsiaTheme="majorEastAsia" w:hAnsi="Arial" w:cstheme="majorBidi"/>
      <w:b/>
      <w:sz w:val="32"/>
      <w:szCs w:val="32"/>
    </w:rPr>
  </w:style>
  <w:style w:type="paragraph" w:styleId="Listenabsatz">
    <w:name w:val="List Paragraph"/>
    <w:basedOn w:val="Standard"/>
    <w:uiPriority w:val="34"/>
    <w:qFormat/>
    <w:rsid w:val="00E7166B"/>
    <w:pPr>
      <w:ind w:left="720"/>
      <w:contextualSpacing/>
    </w:pPr>
  </w:style>
  <w:style w:type="paragraph" w:styleId="Standardeinzug">
    <w:name w:val="Normal Indent"/>
    <w:basedOn w:val="Standard"/>
    <w:uiPriority w:val="99"/>
    <w:unhideWhenUsed/>
    <w:rsid w:val="00E7166B"/>
    <w:pPr>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7186F-A6D1-4D6F-9384-284E133D6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Lehrbuch</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 in der ärztlichen Praxis</dc:title>
  <dc:creator>Deutscher Ärzteverlag</dc:creator>
  <cp:lastModifiedBy>Hellenbroich, Sarah</cp:lastModifiedBy>
  <cp:revision>13</cp:revision>
  <dcterms:created xsi:type="dcterms:W3CDTF">2019-07-25T11:37:00Z</dcterms:created>
  <dcterms:modified xsi:type="dcterms:W3CDTF">2019-08-12T07:41:00Z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LastSaved">
    <vt:filetime>2019-07-25T00:00:00Z</vt:filetime>
  </property>
</Properties>
</file>